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5B16" w14:textId="7E3D20DA" w:rsidR="001D20C2" w:rsidRPr="00D4575F" w:rsidRDefault="001D20C2" w:rsidP="00D4575F">
      <w:pPr>
        <w:pStyle w:val="Heading1"/>
        <w:rPr>
          <w:b/>
        </w:rPr>
      </w:pPr>
      <w:r w:rsidRPr="00D4575F">
        <w:rPr>
          <w:b/>
        </w:rPr>
        <w:t>Understanding Your Soil Test Results</w:t>
      </w:r>
    </w:p>
    <w:p w14:paraId="73E769D7" w14:textId="53ECF970" w:rsidR="001D20C2" w:rsidRDefault="001D20C2" w:rsidP="00D4575F">
      <w:pPr>
        <w:pStyle w:val="Heading2"/>
      </w:pPr>
      <w:r>
        <w:t>Community Engagement Core</w:t>
      </w:r>
      <w:r w:rsidR="00D4575F">
        <w:t>, Duke University Superfund Research Center</w:t>
      </w:r>
    </w:p>
    <w:p w14:paraId="16C7F826" w14:textId="77777777" w:rsidR="00DC05BA" w:rsidRDefault="00DC05BA" w:rsidP="00D0288F">
      <w:pPr>
        <w:pStyle w:val="Heading2"/>
        <w:rPr>
          <w:rStyle w:val="IntenseEmphasis"/>
        </w:rPr>
      </w:pPr>
    </w:p>
    <w:p w14:paraId="2E8942EC" w14:textId="706CBE28" w:rsidR="00144A34" w:rsidRPr="00F5027D" w:rsidRDefault="01AA8119" w:rsidP="00D0288F">
      <w:pPr>
        <w:pStyle w:val="Heading2"/>
        <w:rPr>
          <w:rStyle w:val="IntenseEmphasis"/>
        </w:rPr>
      </w:pPr>
      <w:r w:rsidRPr="00F5027D">
        <w:rPr>
          <w:rStyle w:val="IntenseEmphasis"/>
        </w:rPr>
        <w:t xml:space="preserve">Which soil contaminants did we test for, and why?  </w:t>
      </w:r>
    </w:p>
    <w:p w14:paraId="0FC8BEF6" w14:textId="19964FBB" w:rsidR="004E2653" w:rsidRDefault="01AA8119" w:rsidP="00F5027D">
      <w:pPr>
        <w:jc w:val="both"/>
      </w:pPr>
      <w:r>
        <w:t xml:space="preserve">We screened your garden soil for a variety of known contaminants that may be present in soil. These contaminants include: 6 heavy metals (arsenic, cadmium, chromium, lead, mercury, nickel) </w:t>
      </w:r>
      <w:r w:rsidR="009645AE">
        <w:t xml:space="preserve">and </w:t>
      </w:r>
      <w:r>
        <w:t>petroleum-derived compounds (total petroleum hydrocarbons</w:t>
      </w:r>
      <w:r w:rsidR="00C80D69">
        <w:t>;</w:t>
      </w:r>
      <w:r>
        <w:t xml:space="preserve"> </w:t>
      </w:r>
      <w:r w:rsidR="00C80D69">
        <w:t>benzene, to</w:t>
      </w:r>
      <w:r w:rsidR="00342F92">
        <w:t>luene, ethylbenzene and xylene</w:t>
      </w:r>
      <w:r w:rsidR="002147EC">
        <w:t xml:space="preserve">, </w:t>
      </w:r>
      <w:r w:rsidR="00C80D69">
        <w:t xml:space="preserve">also called </w:t>
      </w:r>
      <w:r>
        <w:t>BTEX</w:t>
      </w:r>
      <w:r w:rsidR="00C80D69">
        <w:t>;</w:t>
      </w:r>
      <w:r>
        <w:t xml:space="preserve"> gasoline range organics</w:t>
      </w:r>
      <w:r w:rsidR="009645AE">
        <w:t>;</w:t>
      </w:r>
      <w:r>
        <w:t xml:space="preserve"> diesel range organics</w:t>
      </w:r>
      <w:r w:rsidR="009645AE">
        <w:t>;</w:t>
      </w:r>
      <w:r>
        <w:t xml:space="preserve"> </w:t>
      </w:r>
      <w:r w:rsidR="009645AE">
        <w:t xml:space="preserve">and </w:t>
      </w:r>
      <w:r>
        <w:t xml:space="preserve">EPA priority </w:t>
      </w:r>
      <w:r w:rsidR="009645AE">
        <w:t>po</w:t>
      </w:r>
      <w:r w:rsidR="00342F92">
        <w:t>lycyclic aromatic hydrocarbons or PAHs</w:t>
      </w:r>
      <w:r>
        <w:t>). We also tested the pH (acid/base level) of your soil, because soil pH can affect how some contaminants move through soil. We chose to test your soil for these specific contaminants because they are common soil pollutants</w:t>
      </w:r>
      <w:r w:rsidR="00C63169">
        <w:t>, especially</w:t>
      </w:r>
      <w:r>
        <w:t xml:space="preserve"> in urban areas. It is important to know whether these compounds are present in your garden to help prevent </w:t>
      </w:r>
      <w:r w:rsidR="00C63169">
        <w:t>children and adults from being exposed</w:t>
      </w:r>
      <w:r w:rsidR="00342F92">
        <w:t xml:space="preserve"> to contaminants that can affect health.</w:t>
      </w:r>
    </w:p>
    <w:p w14:paraId="613D230F" w14:textId="77777777" w:rsidR="00104EA3" w:rsidRDefault="00F5027D" w:rsidP="00104EA3">
      <w:pPr>
        <w:spacing w:after="0"/>
        <w:rPr>
          <w:rStyle w:val="IntenseEmphasis"/>
          <w:rFonts w:asciiTheme="majorHAnsi" w:eastAsiaTheme="majorEastAsia" w:hAnsiTheme="majorHAnsi" w:cstheme="majorBidi"/>
          <w:sz w:val="26"/>
          <w:szCs w:val="26"/>
        </w:rPr>
      </w:pPr>
      <w:r w:rsidRPr="00F5027D">
        <w:rPr>
          <w:rStyle w:val="IntenseEmphasis"/>
          <w:rFonts w:asciiTheme="majorHAnsi" w:eastAsiaTheme="majorEastAsia" w:hAnsiTheme="majorHAnsi" w:cstheme="majorBidi"/>
          <w:sz w:val="26"/>
          <w:szCs w:val="26"/>
        </w:rPr>
        <w:t>What do my results mean?</w:t>
      </w:r>
    </w:p>
    <w:p w14:paraId="50B651F8" w14:textId="29EBE504" w:rsidR="00B3014F" w:rsidRDefault="004E2653" w:rsidP="00104EA3">
      <w:pPr>
        <w:jc w:val="both"/>
      </w:pPr>
      <w:r>
        <w:t xml:space="preserve">Your soil results are presented in a table </w:t>
      </w:r>
      <w:r w:rsidR="008B10EF">
        <w:t>below</w:t>
      </w:r>
      <w:bookmarkStart w:id="0" w:name="_GoBack"/>
      <w:bookmarkEnd w:id="0"/>
      <w:r w:rsidR="007B03FA">
        <w:t xml:space="preserve">. </w:t>
      </w:r>
      <w:r w:rsidR="00104EA3">
        <w:t>Note that s</w:t>
      </w:r>
      <w:r w:rsidR="000D6975">
        <w:t>oil contaminant levels are typically expressed in parts per million (ppm)</w:t>
      </w:r>
      <w:r w:rsidR="00104EA3">
        <w:t>,</w:t>
      </w:r>
      <w:r w:rsidR="000D6975">
        <w:t xml:space="preserve"> </w:t>
      </w:r>
      <w:r w:rsidR="00104EA3">
        <w:t xml:space="preserve">a typical way to </w:t>
      </w:r>
      <w:r w:rsidR="000D6975">
        <w:t>express contaminant levels in the environment. For example, a value of 1 ppm means that there is 1 part of contaminant present for 1 million part</w:t>
      </w:r>
      <w:r w:rsidR="00104EA3">
        <w:t>s</w:t>
      </w:r>
      <w:r w:rsidR="000D6975">
        <w:t xml:space="preserve"> of soil in the sample, by weight. </w:t>
      </w:r>
      <w:r w:rsidR="00104EA3">
        <w:t>Table 1,</w:t>
      </w:r>
      <w:r w:rsidR="000D6975">
        <w:t xml:space="preserve"> below</w:t>
      </w:r>
      <w:r w:rsidR="00104EA3">
        <w:t>,</w:t>
      </w:r>
      <w:r w:rsidR="000D6975">
        <w:t xml:space="preserve"> provide</w:t>
      </w:r>
      <w:r w:rsidR="00104EA3">
        <w:t>s</w:t>
      </w:r>
      <w:r w:rsidR="000D6975">
        <w:t xml:space="preserve"> context to guide the interpretation of your results by providing the background level of metals in the environment in North Carolina</w:t>
      </w:r>
      <w:r w:rsidR="00B3014F">
        <w:t xml:space="preserve"> and guidance values from NC and from New York State</w:t>
      </w:r>
      <w:r w:rsidR="00104EA3">
        <w:t xml:space="preserve">. Table 2 provides </w:t>
      </w:r>
      <w:r w:rsidR="00B3014F">
        <w:t xml:space="preserve">guidance values </w:t>
      </w:r>
      <w:r w:rsidR="00104EA3">
        <w:t xml:space="preserve">about petroleum based compounds. </w:t>
      </w:r>
    </w:p>
    <w:p w14:paraId="26EA8288" w14:textId="1FEE4C4F" w:rsidR="004E2653" w:rsidRPr="00104EA3" w:rsidRDefault="00104EA3" w:rsidP="00104EA3">
      <w:pPr>
        <w:jc w:val="both"/>
        <w:rPr>
          <w:rFonts w:asciiTheme="majorHAnsi" w:eastAsiaTheme="majorEastAsia" w:hAnsiTheme="majorHAnsi" w:cstheme="majorBidi"/>
          <w:i/>
          <w:iCs/>
          <w:color w:val="5B9BD5" w:themeColor="accent1"/>
          <w:sz w:val="26"/>
          <w:szCs w:val="26"/>
        </w:rPr>
      </w:pPr>
      <w:r>
        <w:t>Background levels are</w:t>
      </w:r>
      <w:r w:rsidR="00B3014F">
        <w:t xml:space="preserve"> generally</w:t>
      </w:r>
      <w:r w:rsidR="000D6975">
        <w:t xml:space="preserve"> how much </w:t>
      </w:r>
      <w:r>
        <w:t xml:space="preserve">of each metal </w:t>
      </w:r>
      <w:r w:rsidR="000D6975">
        <w:t xml:space="preserve">you would expect to find naturally occurring in soils. </w:t>
      </w:r>
      <w:r>
        <w:t>The</w:t>
      </w:r>
      <w:r w:rsidR="009645AE">
        <w:t xml:space="preserve"> background level </w:t>
      </w:r>
      <w:r>
        <w:t xml:space="preserve">presented </w:t>
      </w:r>
      <w:r w:rsidR="00F5027D">
        <w:t xml:space="preserve">here </w:t>
      </w:r>
      <w:r w:rsidR="009645AE">
        <w:t>is based on a study from 2007 by the U</w:t>
      </w:r>
      <w:r w:rsidR="002147EC">
        <w:t>.</w:t>
      </w:r>
      <w:r w:rsidR="009645AE">
        <w:t>S</w:t>
      </w:r>
      <w:r w:rsidR="002147EC">
        <w:t>.</w:t>
      </w:r>
      <w:r w:rsidR="009645AE">
        <w:t xml:space="preserve"> Geological Survey that evaluated 83 samples </w:t>
      </w:r>
      <w:r w:rsidR="00F5027D">
        <w:t xml:space="preserve">using </w:t>
      </w:r>
      <w:r w:rsidR="009645AE">
        <w:t>the top 5 centimeters of soil at various locations across North Carolina.</w:t>
      </w:r>
      <w:r w:rsidR="002147EC">
        <w:rPr>
          <w:vertAlign w:val="superscript"/>
        </w:rPr>
        <w:t>1</w:t>
      </w:r>
      <w:r w:rsidR="009645AE">
        <w:t xml:space="preserve"> </w:t>
      </w:r>
      <w:r w:rsidR="00B3014F">
        <w:t xml:space="preserve">The PSRG guidance level for NC is based on EPA’s Regional Screening Levels for soil and represents the lowest health protective level for cancer or non-cancer health effects. The New York guidance values were developed for New York State and take into account rural soil background levels there, </w:t>
      </w:r>
      <w:r w:rsidR="002147EC">
        <w:t xml:space="preserve">and they </w:t>
      </w:r>
      <w:r w:rsidR="00B3014F">
        <w:t>consider home vegetable gardening as a pathway for soil exposure.</w:t>
      </w:r>
      <w:r w:rsidR="007B03FA">
        <w:t xml:space="preserve"> </w:t>
      </w:r>
      <w:r w:rsidR="00B3014F">
        <w:t>The NC values do not consider background</w:t>
      </w:r>
      <w:r w:rsidR="00666122">
        <w:t xml:space="preserve"> levels</w:t>
      </w:r>
      <w:r w:rsidR="00B3014F">
        <w:t>, as th</w:t>
      </w:r>
      <w:r w:rsidR="00666122">
        <w:t>ey are directly adopted from U.S. EPA</w:t>
      </w:r>
      <w:r w:rsidR="00B3014F">
        <w:t xml:space="preserve"> values.</w:t>
      </w:r>
    </w:p>
    <w:p w14:paraId="0C9ED963" w14:textId="15A0EFC9" w:rsidR="00510D2E" w:rsidRPr="00510D2E" w:rsidRDefault="00510D2E" w:rsidP="00510D2E">
      <w:pPr>
        <w:jc w:val="center"/>
        <w:rPr>
          <w:rStyle w:val="Strong"/>
        </w:rPr>
      </w:pPr>
      <w:r w:rsidRPr="00510D2E">
        <w:rPr>
          <w:rStyle w:val="Strong"/>
        </w:rPr>
        <w:t>Table 1</w:t>
      </w:r>
      <w:r>
        <w:rPr>
          <w:rStyle w:val="Strong"/>
        </w:rPr>
        <w:t>: Soil Cleanup, Guidance Values, and Background Levels in Soil</w:t>
      </w:r>
    </w:p>
    <w:tbl>
      <w:tblPr>
        <w:tblStyle w:val="TableGrid"/>
        <w:tblpPr w:leftFromText="180" w:rightFromText="180" w:vertAnchor="text" w:horzAnchor="margin" w:tblpXSpec="center" w:tblpY="36"/>
        <w:tblW w:w="9095" w:type="dxa"/>
        <w:tblLook w:val="04A0" w:firstRow="1" w:lastRow="0" w:firstColumn="1" w:lastColumn="0" w:noHBand="0" w:noVBand="1"/>
      </w:tblPr>
      <w:tblGrid>
        <w:gridCol w:w="1435"/>
        <w:gridCol w:w="3317"/>
        <w:gridCol w:w="2772"/>
        <w:gridCol w:w="1571"/>
      </w:tblGrid>
      <w:tr w:rsidR="0004415A" w14:paraId="2F757E8C" w14:textId="77777777" w:rsidTr="00B3014F">
        <w:tc>
          <w:tcPr>
            <w:tcW w:w="1435" w:type="dxa"/>
            <w:shd w:val="clear" w:color="auto" w:fill="E7E6E6" w:themeFill="background2"/>
          </w:tcPr>
          <w:p w14:paraId="77A40167" w14:textId="15A0EFC9" w:rsidR="0004415A" w:rsidRDefault="0004415A" w:rsidP="0004415A">
            <w:pPr>
              <w:rPr>
                <w:b/>
                <w:bCs/>
              </w:rPr>
            </w:pPr>
            <w:r w:rsidRPr="01AA8119">
              <w:rPr>
                <w:b/>
                <w:bCs/>
              </w:rPr>
              <w:t>Heavy Metal</w:t>
            </w:r>
          </w:p>
        </w:tc>
        <w:tc>
          <w:tcPr>
            <w:tcW w:w="3317" w:type="dxa"/>
            <w:shd w:val="clear" w:color="auto" w:fill="E7E6E6" w:themeFill="background2"/>
          </w:tcPr>
          <w:p w14:paraId="69D6CF8A" w14:textId="31A3E4F7" w:rsidR="0004415A" w:rsidRDefault="0004415A" w:rsidP="0004415A">
            <w:pPr>
              <w:jc w:val="center"/>
              <w:rPr>
                <w:b/>
                <w:bCs/>
              </w:rPr>
            </w:pPr>
            <w:r w:rsidRPr="01AA8119">
              <w:rPr>
                <w:b/>
                <w:bCs/>
              </w:rPr>
              <w:t>NC Preliminary Soil Remediation Goal</w:t>
            </w:r>
            <w:r w:rsidR="00B3014F">
              <w:rPr>
                <w:b/>
                <w:bCs/>
              </w:rPr>
              <w:t xml:space="preserve"> (PSRG)</w:t>
            </w:r>
            <w:r w:rsidRPr="01AA8119">
              <w:rPr>
                <w:b/>
                <w:bCs/>
              </w:rPr>
              <w:t xml:space="preserve">, Residential Health </w:t>
            </w:r>
            <w:r w:rsidR="009E5281">
              <w:rPr>
                <w:b/>
                <w:bCs/>
              </w:rPr>
              <w:t>B</w:t>
            </w:r>
            <w:r w:rsidRPr="01AA8119">
              <w:rPr>
                <w:b/>
                <w:bCs/>
              </w:rPr>
              <w:t>ased</w:t>
            </w:r>
            <w:r w:rsidR="009E5281">
              <w:rPr>
                <w:b/>
                <w:bCs/>
              </w:rPr>
              <w:t xml:space="preserve"> </w:t>
            </w:r>
            <w:r w:rsidRPr="01AA8119">
              <w:rPr>
                <w:b/>
                <w:bCs/>
              </w:rPr>
              <w:t>(ppm)</w:t>
            </w:r>
            <w:r w:rsidR="000D6975">
              <w:rPr>
                <w:b/>
                <w:bCs/>
                <w:vertAlign w:val="superscript"/>
              </w:rPr>
              <w:t>2</w:t>
            </w:r>
          </w:p>
        </w:tc>
        <w:tc>
          <w:tcPr>
            <w:tcW w:w="2772" w:type="dxa"/>
            <w:shd w:val="clear" w:color="auto" w:fill="E7E6E6" w:themeFill="background2"/>
          </w:tcPr>
          <w:p w14:paraId="70E4DC89" w14:textId="08674BB2" w:rsidR="0004415A" w:rsidRDefault="0004415A" w:rsidP="0004415A">
            <w:pPr>
              <w:jc w:val="center"/>
              <w:rPr>
                <w:b/>
                <w:bCs/>
                <w:vertAlign w:val="superscript"/>
              </w:rPr>
            </w:pPr>
            <w:r w:rsidRPr="01AA8119">
              <w:rPr>
                <w:b/>
                <w:bCs/>
              </w:rPr>
              <w:t>New York State Brownfield Cleanup Program – Soil Cleanup Objectives (ppm)</w:t>
            </w:r>
            <w:r w:rsidR="000D6975">
              <w:rPr>
                <w:b/>
                <w:bCs/>
                <w:vertAlign w:val="superscript"/>
              </w:rPr>
              <w:t>3</w:t>
            </w:r>
          </w:p>
        </w:tc>
        <w:tc>
          <w:tcPr>
            <w:tcW w:w="1571" w:type="dxa"/>
            <w:shd w:val="clear" w:color="auto" w:fill="E7E6E6" w:themeFill="background2"/>
          </w:tcPr>
          <w:p w14:paraId="16ED7A32" w14:textId="694B163E" w:rsidR="0004415A" w:rsidRPr="00B820D6" w:rsidRDefault="0004415A" w:rsidP="0004415A">
            <w:pPr>
              <w:jc w:val="center"/>
              <w:rPr>
                <w:b/>
                <w:bCs/>
                <w:vertAlign w:val="superscript"/>
              </w:rPr>
            </w:pPr>
            <w:r w:rsidRPr="01AA8119">
              <w:rPr>
                <w:b/>
                <w:bCs/>
              </w:rPr>
              <w:t>NC Background Level (ppm)</w:t>
            </w:r>
            <w:r w:rsidR="002147EC">
              <w:rPr>
                <w:b/>
                <w:bCs/>
              </w:rPr>
              <w:t>*</w:t>
            </w:r>
            <w:r w:rsidR="000D6975">
              <w:rPr>
                <w:b/>
                <w:bCs/>
                <w:vertAlign w:val="superscript"/>
              </w:rPr>
              <w:t>1</w:t>
            </w:r>
          </w:p>
        </w:tc>
      </w:tr>
      <w:tr w:rsidR="0004415A" w14:paraId="7C217E31" w14:textId="77777777" w:rsidTr="00B3014F">
        <w:tc>
          <w:tcPr>
            <w:tcW w:w="1435" w:type="dxa"/>
          </w:tcPr>
          <w:p w14:paraId="4984850B" w14:textId="77777777" w:rsidR="0004415A" w:rsidRPr="00B820D6" w:rsidRDefault="0004415A" w:rsidP="0004415A">
            <w:pPr>
              <w:jc w:val="center"/>
            </w:pPr>
            <w:r w:rsidRPr="00B820D6">
              <w:t>Arsenic</w:t>
            </w:r>
          </w:p>
        </w:tc>
        <w:tc>
          <w:tcPr>
            <w:tcW w:w="3317" w:type="dxa"/>
          </w:tcPr>
          <w:p w14:paraId="7BF0DC12" w14:textId="77777777" w:rsidR="0004415A" w:rsidRPr="00B820D6" w:rsidRDefault="0004415A" w:rsidP="0004415A">
            <w:pPr>
              <w:jc w:val="center"/>
            </w:pPr>
            <w:r>
              <w:t>0.68 (Inorganic Arsenic)</w:t>
            </w:r>
          </w:p>
        </w:tc>
        <w:tc>
          <w:tcPr>
            <w:tcW w:w="2772" w:type="dxa"/>
          </w:tcPr>
          <w:p w14:paraId="6237A003" w14:textId="77777777" w:rsidR="0004415A" w:rsidRDefault="0004415A" w:rsidP="0004415A">
            <w:pPr>
              <w:spacing w:after="160" w:line="259" w:lineRule="auto"/>
              <w:jc w:val="center"/>
            </w:pPr>
            <w:r>
              <w:t>16</w:t>
            </w:r>
          </w:p>
        </w:tc>
        <w:tc>
          <w:tcPr>
            <w:tcW w:w="1571" w:type="dxa"/>
          </w:tcPr>
          <w:p w14:paraId="0B028E80" w14:textId="2CB79004" w:rsidR="0004415A" w:rsidRPr="00B820D6" w:rsidRDefault="001D3D89" w:rsidP="001D3D89">
            <w:pPr>
              <w:jc w:val="center"/>
            </w:pPr>
            <w:r>
              <w:t>3.7</w:t>
            </w:r>
          </w:p>
        </w:tc>
      </w:tr>
      <w:tr w:rsidR="0004415A" w14:paraId="5ED3A0E3" w14:textId="77777777" w:rsidTr="00B3014F">
        <w:tc>
          <w:tcPr>
            <w:tcW w:w="1435" w:type="dxa"/>
          </w:tcPr>
          <w:p w14:paraId="2BF318C2" w14:textId="77777777" w:rsidR="0004415A" w:rsidRPr="00B820D6" w:rsidRDefault="0004415A" w:rsidP="0004415A">
            <w:pPr>
              <w:jc w:val="center"/>
            </w:pPr>
            <w:r w:rsidRPr="00B820D6">
              <w:t>Cadmium</w:t>
            </w:r>
          </w:p>
        </w:tc>
        <w:tc>
          <w:tcPr>
            <w:tcW w:w="3317" w:type="dxa"/>
          </w:tcPr>
          <w:p w14:paraId="2809A72A" w14:textId="11EE70FC" w:rsidR="0004415A" w:rsidRPr="00B820D6" w:rsidRDefault="0004415A" w:rsidP="0004415A">
            <w:pPr>
              <w:jc w:val="center"/>
            </w:pPr>
            <w:r>
              <w:t>14.2</w:t>
            </w:r>
          </w:p>
        </w:tc>
        <w:tc>
          <w:tcPr>
            <w:tcW w:w="2772" w:type="dxa"/>
          </w:tcPr>
          <w:p w14:paraId="155EC430" w14:textId="77777777" w:rsidR="0004415A" w:rsidRDefault="0004415A" w:rsidP="0004415A">
            <w:pPr>
              <w:jc w:val="center"/>
            </w:pPr>
            <w:r>
              <w:t>2.5</w:t>
            </w:r>
          </w:p>
        </w:tc>
        <w:tc>
          <w:tcPr>
            <w:tcW w:w="1571" w:type="dxa"/>
          </w:tcPr>
          <w:p w14:paraId="6F991550" w14:textId="2CC2DDC2" w:rsidR="0004415A" w:rsidRPr="00B820D6" w:rsidRDefault="0004415A" w:rsidP="0004415A">
            <w:pPr>
              <w:jc w:val="center"/>
            </w:pPr>
            <w:r>
              <w:t>0.1</w:t>
            </w:r>
            <w:r w:rsidR="001D3D89">
              <w:t>6</w:t>
            </w:r>
          </w:p>
        </w:tc>
      </w:tr>
      <w:tr w:rsidR="0004415A" w14:paraId="35812948" w14:textId="77777777" w:rsidTr="00B3014F">
        <w:trPr>
          <w:trHeight w:val="314"/>
        </w:trPr>
        <w:tc>
          <w:tcPr>
            <w:tcW w:w="1435" w:type="dxa"/>
          </w:tcPr>
          <w:p w14:paraId="77D003FF" w14:textId="77777777" w:rsidR="0004415A" w:rsidRPr="00B820D6" w:rsidRDefault="0004415A" w:rsidP="0004415A">
            <w:pPr>
              <w:jc w:val="center"/>
            </w:pPr>
            <w:r w:rsidRPr="00B820D6">
              <w:t>Chromium</w:t>
            </w:r>
          </w:p>
        </w:tc>
        <w:tc>
          <w:tcPr>
            <w:tcW w:w="3317" w:type="dxa"/>
          </w:tcPr>
          <w:p w14:paraId="02363E2F" w14:textId="71E7390C" w:rsidR="0004415A" w:rsidRPr="00B820D6" w:rsidRDefault="0004415A" w:rsidP="0004415A">
            <w:pPr>
              <w:jc w:val="center"/>
            </w:pPr>
            <w:r>
              <w:t>24,000 (</w:t>
            </w:r>
            <w:r w:rsidR="009E5281">
              <w:t xml:space="preserve">Cr </w:t>
            </w:r>
            <w:r>
              <w:t xml:space="preserve">III, insoluble salts); </w:t>
            </w:r>
            <w:r>
              <w:br/>
              <w:t>0.3 (</w:t>
            </w:r>
            <w:r w:rsidR="009E5281">
              <w:t xml:space="preserve">Cr </w:t>
            </w:r>
            <w:r>
              <w:t>VI)</w:t>
            </w:r>
          </w:p>
        </w:tc>
        <w:tc>
          <w:tcPr>
            <w:tcW w:w="2772" w:type="dxa"/>
          </w:tcPr>
          <w:p w14:paraId="75FC3DF4" w14:textId="77777777" w:rsidR="0004415A" w:rsidRDefault="0004415A" w:rsidP="0004415A">
            <w:pPr>
              <w:jc w:val="center"/>
            </w:pPr>
            <w:r>
              <w:t>22(VI); 36 (III)</w:t>
            </w:r>
          </w:p>
        </w:tc>
        <w:tc>
          <w:tcPr>
            <w:tcW w:w="1571" w:type="dxa"/>
          </w:tcPr>
          <w:p w14:paraId="68E1B246" w14:textId="5DD0E699" w:rsidR="0004415A" w:rsidRPr="00B820D6" w:rsidRDefault="001D3D89" w:rsidP="0004415A">
            <w:pPr>
              <w:jc w:val="center"/>
            </w:pPr>
            <w:r>
              <w:t>32</w:t>
            </w:r>
            <w:r w:rsidR="0004415A">
              <w:t>.</w:t>
            </w:r>
            <w:r>
              <w:t>4</w:t>
            </w:r>
            <w:r w:rsidR="0004415A">
              <w:t>2 (</w:t>
            </w:r>
            <w:r w:rsidR="008662E1">
              <w:t>total Cr</w:t>
            </w:r>
            <w:r w:rsidR="0004415A">
              <w:t>)</w:t>
            </w:r>
          </w:p>
        </w:tc>
      </w:tr>
      <w:tr w:rsidR="0004415A" w14:paraId="09EE5DED" w14:textId="77777777" w:rsidTr="00B3014F">
        <w:trPr>
          <w:trHeight w:val="233"/>
        </w:trPr>
        <w:tc>
          <w:tcPr>
            <w:tcW w:w="1435" w:type="dxa"/>
          </w:tcPr>
          <w:p w14:paraId="371980AE" w14:textId="77777777" w:rsidR="0004415A" w:rsidRPr="00B820D6" w:rsidRDefault="0004415A" w:rsidP="0004415A">
            <w:pPr>
              <w:jc w:val="center"/>
            </w:pPr>
            <w:r>
              <w:t>Lead</w:t>
            </w:r>
          </w:p>
        </w:tc>
        <w:tc>
          <w:tcPr>
            <w:tcW w:w="3317" w:type="dxa"/>
          </w:tcPr>
          <w:p w14:paraId="686A5EA9" w14:textId="3F0FBBB9" w:rsidR="0004415A" w:rsidRPr="00B820D6" w:rsidRDefault="0004415A" w:rsidP="0004415A">
            <w:pPr>
              <w:jc w:val="center"/>
            </w:pPr>
            <w:r>
              <w:t>400 (</w:t>
            </w:r>
            <w:r w:rsidR="009E5281">
              <w:t>“</w:t>
            </w:r>
            <w:r>
              <w:t>lead and compounds</w:t>
            </w:r>
            <w:r w:rsidR="009E5281">
              <w:t>”</w:t>
            </w:r>
            <w:r>
              <w:t>)</w:t>
            </w:r>
          </w:p>
        </w:tc>
        <w:tc>
          <w:tcPr>
            <w:tcW w:w="2772" w:type="dxa"/>
          </w:tcPr>
          <w:p w14:paraId="53BE7639" w14:textId="77777777" w:rsidR="0004415A" w:rsidRDefault="0004415A" w:rsidP="0004415A">
            <w:pPr>
              <w:jc w:val="center"/>
            </w:pPr>
            <w:r>
              <w:t>400</w:t>
            </w:r>
          </w:p>
        </w:tc>
        <w:tc>
          <w:tcPr>
            <w:tcW w:w="1571" w:type="dxa"/>
          </w:tcPr>
          <w:p w14:paraId="4CCA5A13" w14:textId="7E8B70C7" w:rsidR="0004415A" w:rsidRPr="00B820D6" w:rsidRDefault="001D3D89" w:rsidP="001D3D89">
            <w:pPr>
              <w:jc w:val="center"/>
            </w:pPr>
            <w:r>
              <w:t>21.33</w:t>
            </w:r>
          </w:p>
        </w:tc>
      </w:tr>
      <w:tr w:rsidR="0004415A" w14:paraId="544AF0BE" w14:textId="77777777" w:rsidTr="00B3014F">
        <w:trPr>
          <w:trHeight w:val="233"/>
        </w:trPr>
        <w:tc>
          <w:tcPr>
            <w:tcW w:w="1435" w:type="dxa"/>
          </w:tcPr>
          <w:p w14:paraId="18960A77" w14:textId="77777777" w:rsidR="0004415A" w:rsidRPr="00B820D6" w:rsidRDefault="0004415A" w:rsidP="0004415A">
            <w:pPr>
              <w:jc w:val="center"/>
            </w:pPr>
            <w:r>
              <w:t>Mercury</w:t>
            </w:r>
          </w:p>
        </w:tc>
        <w:tc>
          <w:tcPr>
            <w:tcW w:w="3317" w:type="dxa"/>
          </w:tcPr>
          <w:p w14:paraId="4F1C4801" w14:textId="77777777" w:rsidR="0004415A" w:rsidRPr="00B820D6" w:rsidRDefault="0004415A" w:rsidP="0004415A">
            <w:pPr>
              <w:jc w:val="center"/>
            </w:pPr>
            <w:r>
              <w:t>2.2 (elemental); 4.6 (mercuric chloride and other salts)</w:t>
            </w:r>
          </w:p>
        </w:tc>
        <w:tc>
          <w:tcPr>
            <w:tcW w:w="2772" w:type="dxa"/>
          </w:tcPr>
          <w:p w14:paraId="0B0320DD" w14:textId="77777777" w:rsidR="0004415A" w:rsidRDefault="0004415A" w:rsidP="0004415A">
            <w:pPr>
              <w:jc w:val="center"/>
            </w:pPr>
            <w:r>
              <w:t>0.810</w:t>
            </w:r>
          </w:p>
        </w:tc>
        <w:tc>
          <w:tcPr>
            <w:tcW w:w="1571" w:type="dxa"/>
          </w:tcPr>
          <w:p w14:paraId="1210713D" w14:textId="3216531C" w:rsidR="0004415A" w:rsidRPr="00B820D6" w:rsidRDefault="001D3D89" w:rsidP="0004415A">
            <w:pPr>
              <w:jc w:val="center"/>
            </w:pPr>
            <w:r>
              <w:t>0.06</w:t>
            </w:r>
          </w:p>
          <w:p w14:paraId="1BD4F86B" w14:textId="77777777" w:rsidR="0004415A" w:rsidRPr="00B820D6" w:rsidRDefault="0004415A" w:rsidP="0004415A">
            <w:pPr>
              <w:jc w:val="center"/>
            </w:pPr>
          </w:p>
        </w:tc>
      </w:tr>
      <w:tr w:rsidR="0004415A" w14:paraId="7776F4F0" w14:textId="77777777" w:rsidTr="00B3014F">
        <w:trPr>
          <w:trHeight w:val="233"/>
        </w:trPr>
        <w:tc>
          <w:tcPr>
            <w:tcW w:w="1435" w:type="dxa"/>
          </w:tcPr>
          <w:p w14:paraId="5A029AFD" w14:textId="77777777" w:rsidR="0004415A" w:rsidRDefault="0004415A" w:rsidP="0004415A">
            <w:pPr>
              <w:jc w:val="center"/>
            </w:pPr>
            <w:r>
              <w:t>Nickel</w:t>
            </w:r>
          </w:p>
        </w:tc>
        <w:tc>
          <w:tcPr>
            <w:tcW w:w="3317" w:type="dxa"/>
          </w:tcPr>
          <w:p w14:paraId="3100C051" w14:textId="4E82727A" w:rsidR="0004415A" w:rsidRDefault="0004415A" w:rsidP="001D20C2">
            <w:pPr>
              <w:spacing w:after="160" w:line="259" w:lineRule="auto"/>
              <w:jc w:val="center"/>
            </w:pPr>
            <w:r w:rsidRPr="001D20C2">
              <w:t>134 (nickel carbonate)</w:t>
            </w:r>
          </w:p>
        </w:tc>
        <w:tc>
          <w:tcPr>
            <w:tcW w:w="2772" w:type="dxa"/>
          </w:tcPr>
          <w:p w14:paraId="04DEA631" w14:textId="77777777" w:rsidR="0004415A" w:rsidRDefault="0004415A" w:rsidP="0004415A">
            <w:pPr>
              <w:jc w:val="center"/>
            </w:pPr>
            <w:r>
              <w:t>140</w:t>
            </w:r>
          </w:p>
        </w:tc>
        <w:tc>
          <w:tcPr>
            <w:tcW w:w="1571" w:type="dxa"/>
          </w:tcPr>
          <w:p w14:paraId="6C9A5334" w14:textId="58C34DCC" w:rsidR="0004415A" w:rsidRDefault="001D3D89" w:rsidP="0004415A">
            <w:pPr>
              <w:jc w:val="center"/>
            </w:pPr>
            <w:r>
              <w:t>11.56</w:t>
            </w:r>
          </w:p>
        </w:tc>
      </w:tr>
    </w:tbl>
    <w:p w14:paraId="7163BAB9" w14:textId="509343CF" w:rsidR="01AA8119" w:rsidRPr="00510D2E" w:rsidRDefault="00D16682" w:rsidP="00D16682">
      <w:pPr>
        <w:rPr>
          <w:sz w:val="18"/>
        </w:rPr>
      </w:pPr>
      <w:r>
        <w:rPr>
          <w:sz w:val="18"/>
        </w:rPr>
        <w:t>*B</w:t>
      </w:r>
      <w:r w:rsidR="00F5027D" w:rsidRPr="00510D2E">
        <w:rPr>
          <w:sz w:val="18"/>
        </w:rPr>
        <w:t xml:space="preserve">ackground levels are based on a USGS study of 83 samples across NC from </w:t>
      </w:r>
      <w:r w:rsidR="002147EC">
        <w:rPr>
          <w:sz w:val="18"/>
        </w:rPr>
        <w:t xml:space="preserve">the </w:t>
      </w:r>
      <w:r w:rsidR="00F5027D" w:rsidRPr="00510D2E">
        <w:rPr>
          <w:sz w:val="18"/>
        </w:rPr>
        <w:t>top 5 cm of soil</w:t>
      </w:r>
      <w:r w:rsidR="002147EC">
        <w:rPr>
          <w:sz w:val="18"/>
        </w:rPr>
        <w:t>.</w:t>
      </w:r>
    </w:p>
    <w:p w14:paraId="160B5E79" w14:textId="77777777" w:rsidR="00104EA3" w:rsidRDefault="00104EA3" w:rsidP="01AA8119">
      <w:pPr>
        <w:rPr>
          <w:sz w:val="18"/>
        </w:rPr>
      </w:pPr>
    </w:p>
    <w:p w14:paraId="6218B6C4" w14:textId="409EED7D" w:rsidR="00104EA3" w:rsidRPr="00B3014F" w:rsidRDefault="00B3014F" w:rsidP="00B3014F">
      <w:pPr>
        <w:jc w:val="center"/>
        <w:rPr>
          <w:b/>
          <w:bCs/>
        </w:rPr>
      </w:pPr>
      <w:r w:rsidRPr="00510D2E">
        <w:rPr>
          <w:rStyle w:val="Strong"/>
        </w:rPr>
        <w:t xml:space="preserve">Table </w:t>
      </w:r>
      <w:r>
        <w:rPr>
          <w:rStyle w:val="Strong"/>
        </w:rPr>
        <w:t>2: Soil Cleanup, Guidance Values, and Background Levels in Soil</w:t>
      </w:r>
    </w:p>
    <w:tbl>
      <w:tblPr>
        <w:tblStyle w:val="TableGrid"/>
        <w:tblpPr w:leftFromText="180" w:rightFromText="180" w:tblpXSpec="center" w:tblpY="495"/>
        <w:tblW w:w="0" w:type="auto"/>
        <w:tblLook w:val="04A0" w:firstRow="1" w:lastRow="0" w:firstColumn="1" w:lastColumn="0" w:noHBand="0" w:noVBand="1"/>
      </w:tblPr>
      <w:tblGrid>
        <w:gridCol w:w="1620"/>
        <w:gridCol w:w="3060"/>
        <w:gridCol w:w="2790"/>
        <w:gridCol w:w="1530"/>
      </w:tblGrid>
      <w:tr w:rsidR="00104EA3" w14:paraId="3E938C3E" w14:textId="77777777" w:rsidTr="00F94383">
        <w:tc>
          <w:tcPr>
            <w:tcW w:w="1620" w:type="dxa"/>
            <w:shd w:val="clear" w:color="auto" w:fill="E7E6E6" w:themeFill="background2"/>
          </w:tcPr>
          <w:p w14:paraId="7A2DF583" w14:textId="77777777" w:rsidR="00104EA3" w:rsidRDefault="00104EA3" w:rsidP="00F94383">
            <w:pPr>
              <w:spacing w:after="160" w:line="259" w:lineRule="auto"/>
            </w:pPr>
            <w:r w:rsidRPr="01AA8119">
              <w:rPr>
                <w:b/>
                <w:bCs/>
              </w:rPr>
              <w:t>Petroleum Compounds</w:t>
            </w:r>
          </w:p>
        </w:tc>
        <w:tc>
          <w:tcPr>
            <w:tcW w:w="3060" w:type="dxa"/>
            <w:shd w:val="clear" w:color="auto" w:fill="E7E6E6" w:themeFill="background2"/>
          </w:tcPr>
          <w:p w14:paraId="5030A0C5" w14:textId="77777777" w:rsidR="00104EA3" w:rsidRDefault="00104EA3" w:rsidP="00F94383">
            <w:pPr>
              <w:spacing w:after="160" w:line="259" w:lineRule="auto"/>
            </w:pPr>
            <w:r w:rsidRPr="01AA8119">
              <w:rPr>
                <w:b/>
                <w:bCs/>
              </w:rPr>
              <w:t>NC Action Level (2010), ppm</w:t>
            </w:r>
          </w:p>
        </w:tc>
        <w:tc>
          <w:tcPr>
            <w:tcW w:w="2790" w:type="dxa"/>
            <w:shd w:val="clear" w:color="auto" w:fill="E7E6E6" w:themeFill="background2"/>
          </w:tcPr>
          <w:p w14:paraId="74947AE8" w14:textId="77777777" w:rsidR="00104EA3" w:rsidRDefault="00104EA3" w:rsidP="00F94383">
            <w:pPr>
              <w:spacing w:after="160" w:line="259" w:lineRule="auto"/>
            </w:pPr>
            <w:r w:rsidRPr="01AA8119">
              <w:rPr>
                <w:b/>
                <w:bCs/>
              </w:rPr>
              <w:t>NC Action Level (Current), ppm</w:t>
            </w:r>
          </w:p>
        </w:tc>
        <w:tc>
          <w:tcPr>
            <w:tcW w:w="1530" w:type="dxa"/>
            <w:shd w:val="clear" w:color="auto" w:fill="E7E6E6" w:themeFill="background2"/>
          </w:tcPr>
          <w:p w14:paraId="7F3C1236" w14:textId="77777777" w:rsidR="00104EA3" w:rsidRDefault="00104EA3" w:rsidP="00F94383">
            <w:pPr>
              <w:spacing w:after="160" w:line="259" w:lineRule="auto"/>
            </w:pPr>
            <w:r w:rsidRPr="01AA8119">
              <w:rPr>
                <w:b/>
                <w:bCs/>
              </w:rPr>
              <w:t>Background level</w:t>
            </w:r>
            <w:r>
              <w:rPr>
                <w:b/>
                <w:bCs/>
              </w:rPr>
              <w:t xml:space="preserve"> (ppm)</w:t>
            </w:r>
          </w:p>
        </w:tc>
      </w:tr>
      <w:tr w:rsidR="00104EA3" w14:paraId="19308EBC" w14:textId="77777777" w:rsidTr="00F94383">
        <w:tc>
          <w:tcPr>
            <w:tcW w:w="1620" w:type="dxa"/>
          </w:tcPr>
          <w:p w14:paraId="3D77EC48" w14:textId="77777777" w:rsidR="00104EA3" w:rsidRDefault="00104EA3" w:rsidP="00F94383">
            <w:pPr>
              <w:jc w:val="center"/>
            </w:pPr>
            <w:r>
              <w:t>DRO</w:t>
            </w:r>
          </w:p>
        </w:tc>
        <w:tc>
          <w:tcPr>
            <w:tcW w:w="3060" w:type="dxa"/>
          </w:tcPr>
          <w:p w14:paraId="3CB0641E" w14:textId="77777777" w:rsidR="00104EA3" w:rsidRDefault="00104EA3" w:rsidP="00F94383">
            <w:pPr>
              <w:jc w:val="center"/>
            </w:pPr>
            <w:r>
              <w:t>10</w:t>
            </w:r>
          </w:p>
        </w:tc>
        <w:tc>
          <w:tcPr>
            <w:tcW w:w="2790" w:type="dxa"/>
          </w:tcPr>
          <w:p w14:paraId="55FDA432" w14:textId="77777777" w:rsidR="00104EA3" w:rsidRDefault="00104EA3" w:rsidP="00F94383">
            <w:pPr>
              <w:jc w:val="center"/>
            </w:pPr>
            <w:r>
              <w:t>100</w:t>
            </w:r>
          </w:p>
        </w:tc>
        <w:tc>
          <w:tcPr>
            <w:tcW w:w="1530" w:type="dxa"/>
          </w:tcPr>
          <w:p w14:paraId="7E90EF12" w14:textId="77777777" w:rsidR="00104EA3" w:rsidRDefault="00104EA3" w:rsidP="00F94383">
            <w:pPr>
              <w:jc w:val="center"/>
            </w:pPr>
            <w:r>
              <w:t>N/A**</w:t>
            </w:r>
          </w:p>
        </w:tc>
      </w:tr>
      <w:tr w:rsidR="00104EA3" w14:paraId="49C055D3" w14:textId="77777777" w:rsidTr="00F94383">
        <w:trPr>
          <w:trHeight w:val="314"/>
        </w:trPr>
        <w:tc>
          <w:tcPr>
            <w:tcW w:w="1620" w:type="dxa"/>
          </w:tcPr>
          <w:p w14:paraId="76E08C40" w14:textId="77777777" w:rsidR="00104EA3" w:rsidRDefault="00104EA3" w:rsidP="00F94383">
            <w:pPr>
              <w:jc w:val="center"/>
            </w:pPr>
            <w:r>
              <w:t>GRO</w:t>
            </w:r>
          </w:p>
        </w:tc>
        <w:tc>
          <w:tcPr>
            <w:tcW w:w="3060" w:type="dxa"/>
          </w:tcPr>
          <w:p w14:paraId="1F7157CE" w14:textId="77777777" w:rsidR="00104EA3" w:rsidRDefault="00104EA3" w:rsidP="00F94383">
            <w:pPr>
              <w:jc w:val="center"/>
            </w:pPr>
            <w:r>
              <w:t>10</w:t>
            </w:r>
          </w:p>
        </w:tc>
        <w:tc>
          <w:tcPr>
            <w:tcW w:w="2790" w:type="dxa"/>
          </w:tcPr>
          <w:p w14:paraId="5A424AAF" w14:textId="77777777" w:rsidR="00104EA3" w:rsidRDefault="00104EA3" w:rsidP="00F94383">
            <w:pPr>
              <w:jc w:val="center"/>
            </w:pPr>
            <w:r>
              <w:t>50</w:t>
            </w:r>
          </w:p>
        </w:tc>
        <w:tc>
          <w:tcPr>
            <w:tcW w:w="1530" w:type="dxa"/>
          </w:tcPr>
          <w:p w14:paraId="3C37F50A" w14:textId="77777777" w:rsidR="00104EA3" w:rsidRDefault="00104EA3" w:rsidP="00F94383">
            <w:pPr>
              <w:jc w:val="center"/>
            </w:pPr>
            <w:r>
              <w:t>N/A**</w:t>
            </w:r>
          </w:p>
        </w:tc>
      </w:tr>
    </w:tbl>
    <w:p w14:paraId="4EC568E8" w14:textId="0AAA3D26" w:rsidR="01AA8119" w:rsidRDefault="00510D2E" w:rsidP="01AA8119">
      <w:r w:rsidRPr="00510D2E">
        <w:rPr>
          <w:sz w:val="18"/>
        </w:rPr>
        <w:t>**Petroleum based compounds are not naturally occurring in surface soils, and as such, there is no background level.</w:t>
      </w:r>
    </w:p>
    <w:p w14:paraId="5B6552FB" w14:textId="77777777" w:rsidR="00D0288F" w:rsidRPr="00B3014F" w:rsidRDefault="00D0288F" w:rsidP="00D0288F">
      <w:pPr>
        <w:pStyle w:val="Heading2"/>
        <w:rPr>
          <w:rStyle w:val="IntenseEmphasis"/>
        </w:rPr>
      </w:pPr>
      <w:r w:rsidRPr="00B3014F">
        <w:rPr>
          <w:rStyle w:val="IntenseEmphasis"/>
        </w:rPr>
        <w:t>What did we find?</w:t>
      </w:r>
    </w:p>
    <w:p w14:paraId="592D5ED8" w14:textId="7EE52357" w:rsidR="00D0288F" w:rsidRDefault="00D0288F" w:rsidP="00D0288F">
      <w:r>
        <w:t xml:space="preserve">We can use one of the </w:t>
      </w:r>
      <w:r w:rsidR="001D20C2">
        <w:t xml:space="preserve">four </w:t>
      </w:r>
      <w:r>
        <w:t>following descriptions for each of the chemicals we tested for in your soil</w:t>
      </w:r>
      <w:r w:rsidR="00B3014F">
        <w:t xml:space="preserve">. You will find similar color coding in your results table for </w:t>
      </w:r>
      <w:r w:rsidR="00B3014F" w:rsidRPr="00B3014F">
        <w:rPr>
          <w:highlight w:val="cyan"/>
        </w:rPr>
        <w:t>Below Detection</w:t>
      </w:r>
      <w:r w:rsidR="00B3014F">
        <w:t xml:space="preserve">, </w:t>
      </w:r>
      <w:r w:rsidR="00B3014F" w:rsidRPr="00B3014F">
        <w:rPr>
          <w:highlight w:val="green"/>
        </w:rPr>
        <w:t>Below Guideline</w:t>
      </w:r>
      <w:r w:rsidR="00B3014F">
        <w:t xml:space="preserve">, and </w:t>
      </w:r>
      <w:r w:rsidR="00B3014F" w:rsidRPr="00B3014F">
        <w:rPr>
          <w:highlight w:val="yellow"/>
        </w:rPr>
        <w:t>Above Guideline</w:t>
      </w:r>
      <w:r>
        <w:t xml:space="preserve">: </w:t>
      </w:r>
    </w:p>
    <w:p w14:paraId="3C9C6161" w14:textId="3C9D2DDF" w:rsidR="00D0288F" w:rsidRDefault="00D0288F" w:rsidP="00B3014F">
      <w:pPr>
        <w:pStyle w:val="ListParagraph"/>
        <w:numPr>
          <w:ilvl w:val="0"/>
          <w:numId w:val="3"/>
        </w:numPr>
        <w:jc w:val="both"/>
      </w:pPr>
      <w:r w:rsidRPr="00D74969">
        <w:rPr>
          <w:b/>
          <w:highlight w:val="cyan"/>
        </w:rPr>
        <w:t>Below Detection Limit:</w:t>
      </w:r>
      <w:r>
        <w:t xml:space="preserve"> </w:t>
      </w:r>
      <w:r w:rsidR="00543216">
        <w:t>T</w:t>
      </w:r>
      <w:r>
        <w:t xml:space="preserve">his means that the compound was either not present, or present at a level that is below the limits of what the instrument can find in the soil. If we take the most conservative (health-protective) approach to this result, the compound </w:t>
      </w:r>
      <w:r w:rsidR="0004415A">
        <w:t>may be</w:t>
      </w:r>
      <w:r>
        <w:t xml:space="preserve"> present, but at a level that is very low. The instruments we use can detect concentrations </w:t>
      </w:r>
      <w:r w:rsidR="00543216">
        <w:t>that are far below the background</w:t>
      </w:r>
      <w:r w:rsidR="009D3922">
        <w:t xml:space="preserve"> levels, </w:t>
      </w:r>
      <w:r w:rsidR="00D2387F">
        <w:t>or levels that you would commonly find in the environment in a given area.</w:t>
      </w:r>
    </w:p>
    <w:p w14:paraId="5650A911" w14:textId="60198A74" w:rsidR="00543216" w:rsidRDefault="00543216" w:rsidP="00B3014F">
      <w:pPr>
        <w:pStyle w:val="ListParagraph"/>
        <w:numPr>
          <w:ilvl w:val="1"/>
          <w:numId w:val="3"/>
        </w:numPr>
        <w:jc w:val="both"/>
      </w:pPr>
      <w:r>
        <w:rPr>
          <w:b/>
        </w:rPr>
        <w:t>Action Suggested:</w:t>
      </w:r>
      <w:r>
        <w:t xml:space="preserve"> Continue to use good gardening practices to limit exposure, such as </w:t>
      </w:r>
      <w:r w:rsidR="001D20C2">
        <w:t xml:space="preserve">wearing gloves, </w:t>
      </w:r>
      <w:r>
        <w:t xml:space="preserve">hand washing, </w:t>
      </w:r>
      <w:r w:rsidR="001D20C2">
        <w:t xml:space="preserve">washing tools and shovels, </w:t>
      </w:r>
      <w:r>
        <w:t xml:space="preserve">scrubbing and washing produce, and leaving </w:t>
      </w:r>
      <w:r w:rsidR="00C46044">
        <w:t>shoes</w:t>
      </w:r>
      <w:r>
        <w:t xml:space="preserve"> outside after working in the garden. </w:t>
      </w:r>
    </w:p>
    <w:p w14:paraId="6F72E16A" w14:textId="412FBFA4" w:rsidR="00543216" w:rsidRDefault="00543216" w:rsidP="00B3014F">
      <w:pPr>
        <w:pStyle w:val="ListParagraph"/>
        <w:numPr>
          <w:ilvl w:val="0"/>
          <w:numId w:val="3"/>
        </w:numPr>
        <w:jc w:val="both"/>
      </w:pPr>
      <w:r w:rsidRPr="00D74969">
        <w:rPr>
          <w:b/>
          <w:highlight w:val="green"/>
        </w:rPr>
        <w:t>Below Guideline Value</w:t>
      </w:r>
      <w:r w:rsidRPr="00D74969">
        <w:rPr>
          <w:highlight w:val="green"/>
        </w:rPr>
        <w:t>:</w:t>
      </w:r>
      <w:r>
        <w:t xml:space="preserve"> This means that the compound was present at a level that is below health-based guideline values. </w:t>
      </w:r>
      <w:r w:rsidR="008C57D1">
        <w:t>Health</w:t>
      </w:r>
      <w:r>
        <w:t xml:space="preserve">-based guideline values are established to consider long-term exposure to environmental contaminants. </w:t>
      </w:r>
      <w:r w:rsidR="0004415A">
        <w:t>P</w:t>
      </w:r>
      <w:r w:rsidR="00C46044">
        <w:t>opulations such as women and children are considered when developing these guidelines</w:t>
      </w:r>
      <w:r w:rsidR="008C57D1">
        <w:t xml:space="preserve"> because they are especially vulnerable to developmental health effects</w:t>
      </w:r>
      <w:r w:rsidR="00C46044">
        <w:t xml:space="preserve">. </w:t>
      </w:r>
      <w:r w:rsidR="00D74969">
        <w:t xml:space="preserve">There is no safe level of exposure to </w:t>
      </w:r>
      <w:r w:rsidR="008C57D1">
        <w:t xml:space="preserve">certain </w:t>
      </w:r>
      <w:r w:rsidR="00D74969">
        <w:t xml:space="preserve">contaminants, </w:t>
      </w:r>
      <w:r w:rsidR="008C57D1">
        <w:t>like</w:t>
      </w:r>
      <w:r w:rsidR="00D74969">
        <w:t xml:space="preserve"> lead</w:t>
      </w:r>
      <w:r w:rsidR="0004415A">
        <w:t>. S</w:t>
      </w:r>
      <w:r w:rsidR="00D74969">
        <w:t>o</w:t>
      </w:r>
      <w:r w:rsidR="0004415A">
        <w:t>,</w:t>
      </w:r>
      <w:r w:rsidR="00D74969">
        <w:t xml:space="preserve"> even with results below guideline</w:t>
      </w:r>
      <w:r w:rsidR="001D20C2">
        <w:t xml:space="preserve"> value</w:t>
      </w:r>
      <w:r w:rsidR="00D74969">
        <w:t xml:space="preserve">s, you can still limit exposures by washing your hands, washing produce, and leaving shoes outside after gardening. </w:t>
      </w:r>
    </w:p>
    <w:p w14:paraId="253EA375" w14:textId="3276A7F3" w:rsidR="00C46044" w:rsidRDefault="00543216" w:rsidP="00B3014F">
      <w:pPr>
        <w:pStyle w:val="ListParagraph"/>
        <w:numPr>
          <w:ilvl w:val="1"/>
          <w:numId w:val="3"/>
        </w:numPr>
        <w:jc w:val="both"/>
      </w:pPr>
      <w:r w:rsidRPr="00543216">
        <w:rPr>
          <w:b/>
        </w:rPr>
        <w:t>Action Suggested</w:t>
      </w:r>
      <w:r>
        <w:t xml:space="preserve">: </w:t>
      </w:r>
      <w:r w:rsidR="00C46044">
        <w:t xml:space="preserve">Continue to use good gardening practices to limit exposure, such as </w:t>
      </w:r>
      <w:r w:rsidR="001D20C2">
        <w:t xml:space="preserve">wearing gloves, </w:t>
      </w:r>
      <w:r w:rsidR="00C46044">
        <w:t>hand</w:t>
      </w:r>
      <w:r w:rsidR="00C46044" w:rsidRPr="00C46044">
        <w:t xml:space="preserve"> </w:t>
      </w:r>
      <w:r w:rsidR="00C46044">
        <w:t>washing</w:t>
      </w:r>
      <w:r w:rsidR="001D20C2">
        <w:t>, washing tools and shovels</w:t>
      </w:r>
      <w:r w:rsidR="00C46044">
        <w:t xml:space="preserve">, scrubbing and washing produce, and leaving shoes outside after working in the garden. </w:t>
      </w:r>
    </w:p>
    <w:p w14:paraId="6F119465" w14:textId="5FD7D79C" w:rsidR="00543216" w:rsidRPr="00E40BE8" w:rsidRDefault="00D74969" w:rsidP="00B3014F">
      <w:pPr>
        <w:pStyle w:val="ListParagraph"/>
        <w:numPr>
          <w:ilvl w:val="0"/>
          <w:numId w:val="3"/>
        </w:numPr>
        <w:jc w:val="both"/>
        <w:rPr>
          <w:b/>
        </w:rPr>
      </w:pPr>
      <w:r w:rsidRPr="00D74969">
        <w:rPr>
          <w:b/>
          <w:highlight w:val="yellow"/>
        </w:rPr>
        <w:t xml:space="preserve">Above </w:t>
      </w:r>
      <w:r>
        <w:rPr>
          <w:b/>
          <w:highlight w:val="yellow"/>
        </w:rPr>
        <w:t xml:space="preserve">Gardening/Residential </w:t>
      </w:r>
      <w:r w:rsidRPr="00D74969">
        <w:rPr>
          <w:b/>
          <w:highlight w:val="yellow"/>
        </w:rPr>
        <w:t>Guideline Value:</w:t>
      </w:r>
      <w:r>
        <w:rPr>
          <w:b/>
        </w:rPr>
        <w:t xml:space="preserve"> </w:t>
      </w:r>
      <w:r>
        <w:t>This means that the contaminant was present at a level that is above health-based guidance values</w:t>
      </w:r>
      <w:r w:rsidR="00D16432">
        <w:t>, indicating that there is a potential health risk from exposure to this contaminant</w:t>
      </w:r>
      <w:r>
        <w:t>.</w:t>
      </w:r>
      <w:r w:rsidR="00D16432">
        <w:t xml:space="preserve"> Keep in mind that</w:t>
      </w:r>
      <w:r w:rsidR="00A63572">
        <w:t xml:space="preserve"> these</w:t>
      </w:r>
      <w:r w:rsidR="00D16432">
        <w:t xml:space="preserve"> </w:t>
      </w:r>
      <w:r w:rsidR="00A63572">
        <w:t xml:space="preserve">health-based </w:t>
      </w:r>
      <w:r w:rsidR="00D16432">
        <w:t>guideline values typically are formulated by the most extreme assumptions about your exposure, such as dai</w:t>
      </w:r>
      <w:r w:rsidR="00A63572">
        <w:t>ly exposure to this compound over</w:t>
      </w:r>
      <w:r w:rsidR="00D16432">
        <w:t xml:space="preserve"> a long amount of time</w:t>
      </w:r>
      <w:r w:rsidR="00A63572">
        <w:t xml:space="preserve"> (usually many years), </w:t>
      </w:r>
      <w:r w:rsidR="008C57D1">
        <w:t xml:space="preserve">and </w:t>
      </w:r>
      <w:r w:rsidR="00A63572">
        <w:t>your individual risk from exposure to this contaminant may not be as extreme</w:t>
      </w:r>
      <w:r w:rsidR="00D16432">
        <w:t>.</w:t>
      </w:r>
      <w:r>
        <w:t xml:space="preserve"> </w:t>
      </w:r>
      <w:r w:rsidR="003841FD">
        <w:t xml:space="preserve">If you are interested, we would like to </w:t>
      </w:r>
      <w:r w:rsidR="00946E97">
        <w:t>conduct additional testing for the contaminant(s) above this guideline value in order to better understand the contaminant levels at your specific site</w:t>
      </w:r>
      <w:r w:rsidR="00A63572">
        <w:t>.</w:t>
      </w:r>
    </w:p>
    <w:p w14:paraId="1076DF2E" w14:textId="17E8B1CE" w:rsidR="007A5A8C" w:rsidRPr="00D74969" w:rsidRDefault="007A5A8C" w:rsidP="00B3014F">
      <w:pPr>
        <w:pStyle w:val="ListParagraph"/>
        <w:numPr>
          <w:ilvl w:val="1"/>
          <w:numId w:val="3"/>
        </w:numPr>
        <w:jc w:val="both"/>
        <w:rPr>
          <w:b/>
        </w:rPr>
      </w:pPr>
      <w:r>
        <w:rPr>
          <w:b/>
        </w:rPr>
        <w:t>Action Suggested:</w:t>
      </w:r>
      <w:r w:rsidR="00E7084B">
        <w:rPr>
          <w:b/>
        </w:rPr>
        <w:t xml:space="preserve"> </w:t>
      </w:r>
      <w:r w:rsidR="00A63572">
        <w:t xml:space="preserve">Incorporate </w:t>
      </w:r>
      <w:r w:rsidR="001D20C2">
        <w:t xml:space="preserve">good </w:t>
      </w:r>
      <w:r w:rsidR="00A63572">
        <w:t>gardening practices</w:t>
      </w:r>
      <w:r w:rsidR="001D20C2">
        <w:t>,</w:t>
      </w:r>
      <w:r w:rsidR="00A63572">
        <w:t xml:space="preserve"> </w:t>
      </w:r>
      <w:r w:rsidR="001D20C2">
        <w:t xml:space="preserve">listed above, </w:t>
      </w:r>
      <w:r w:rsidR="00A63572">
        <w:t>to minimize exposure to this contaminant</w:t>
      </w:r>
      <w:r w:rsidR="001D20C2">
        <w:t xml:space="preserve">. Consider </w:t>
      </w:r>
      <w:r w:rsidR="00983A3F">
        <w:t>adding soil amendments</w:t>
      </w:r>
      <w:r w:rsidR="001D20C2">
        <w:t xml:space="preserve"> to reduce the likelihood of contaminant exposure</w:t>
      </w:r>
      <w:r w:rsidR="00A63572">
        <w:t xml:space="preserve">, keeping in mind that best practices differ according to which contaminant is present at your site. </w:t>
      </w:r>
      <w:r w:rsidR="001D20C2">
        <w:t xml:space="preserve">These </w:t>
      </w:r>
      <w:r w:rsidR="00983A3F">
        <w:t xml:space="preserve">best practices </w:t>
      </w:r>
      <w:r w:rsidR="001D20C2">
        <w:t xml:space="preserve">are explained for each contaminant in the fact sheets included in the following pages of this packet. </w:t>
      </w:r>
      <w:r w:rsidR="00A63572">
        <w:t xml:space="preserve">Consider </w:t>
      </w:r>
      <w:r w:rsidR="00983A3F">
        <w:t xml:space="preserve">using </w:t>
      </w:r>
      <w:r w:rsidR="00A63572">
        <w:t xml:space="preserve">remediation strategies at your garden site to remove or decrease the contaminant concentrations </w:t>
      </w:r>
      <w:r w:rsidR="00983A3F">
        <w:t xml:space="preserve">in </w:t>
      </w:r>
      <w:r w:rsidR="00A63572">
        <w:t xml:space="preserve">your soil. </w:t>
      </w:r>
    </w:p>
    <w:p w14:paraId="2475C819" w14:textId="410752FB" w:rsidR="00FE1641" w:rsidRPr="00FE1641" w:rsidRDefault="0048591B" w:rsidP="00FE1641">
      <w:pPr>
        <w:pStyle w:val="Heading2"/>
      </w:pPr>
      <w:r>
        <w:lastRenderedPageBreak/>
        <w:t>Additional</w:t>
      </w:r>
      <w:r w:rsidR="00FE1641">
        <w:t xml:space="preserve"> Resources</w:t>
      </w:r>
      <w:r w:rsidR="00FE1641" w:rsidRPr="00D0288F">
        <w:t xml:space="preserve"> </w:t>
      </w:r>
    </w:p>
    <w:p w14:paraId="7A83DD63" w14:textId="54F9DB1D" w:rsidR="0085541F" w:rsidRPr="00B40847" w:rsidRDefault="00B3014F" w:rsidP="0085541F">
      <w:pPr>
        <w:rPr>
          <w:rFonts w:ascii="Times" w:hAnsi="Times"/>
          <w:sz w:val="24"/>
          <w:szCs w:val="24"/>
        </w:rPr>
      </w:pPr>
      <w:r>
        <w:t>Y</w:t>
      </w:r>
      <w:r w:rsidR="009645AE">
        <w:t>our soil testing results</w:t>
      </w:r>
      <w:r>
        <w:t>, a map of the sampling locations,</w:t>
      </w:r>
      <w:r w:rsidR="009645AE">
        <w:t xml:space="preserve"> and fact sheets about </w:t>
      </w:r>
      <w:r w:rsidR="0085541F">
        <w:t>each of the c</w:t>
      </w:r>
      <w:r w:rsidR="00FE1641">
        <w:t>ontaminants</w:t>
      </w:r>
      <w:r w:rsidR="009645AE">
        <w:t xml:space="preserve"> </w:t>
      </w:r>
      <w:r>
        <w:t>that were</w:t>
      </w:r>
      <w:r w:rsidR="009645AE">
        <w:t xml:space="preserve"> detected above guidance values</w:t>
      </w:r>
      <w:r w:rsidR="00FE1641">
        <w:t xml:space="preserve"> are included in the following pages of this</w:t>
      </w:r>
      <w:r w:rsidR="0085541F">
        <w:t xml:space="preserve"> packet. </w:t>
      </w:r>
      <w:r>
        <w:t>In addition</w:t>
      </w:r>
      <w:r w:rsidR="0085541F">
        <w:t xml:space="preserve">, </w:t>
      </w:r>
      <w:r>
        <w:t xml:space="preserve">below </w:t>
      </w:r>
      <w:r w:rsidR="0085541F">
        <w:t xml:space="preserve">are some further resources to </w:t>
      </w:r>
      <w:r w:rsidR="004B2363">
        <w:t xml:space="preserve">help you </w:t>
      </w:r>
      <w:r w:rsidR="0085541F">
        <w:t xml:space="preserve">understand </w:t>
      </w:r>
      <w:r w:rsidR="004B2363">
        <w:t xml:space="preserve">the issue of </w:t>
      </w:r>
      <w:r w:rsidR="0085541F">
        <w:t>soil contamination in community gardens.</w:t>
      </w:r>
    </w:p>
    <w:p w14:paraId="2C1F0DE4" w14:textId="49BFFE47" w:rsidR="003841FD" w:rsidRDefault="003841FD" w:rsidP="00B3014F">
      <w:pPr>
        <w:pStyle w:val="ListParagraph"/>
        <w:numPr>
          <w:ilvl w:val="0"/>
          <w:numId w:val="5"/>
        </w:numPr>
        <w:rPr>
          <w:rFonts w:ascii="Calibri" w:hAnsi="Calibri" w:cs="Calibri"/>
        </w:rPr>
      </w:pPr>
      <w:r>
        <w:rPr>
          <w:rFonts w:ascii="Calibri" w:hAnsi="Calibri" w:cs="Calibri"/>
        </w:rPr>
        <w:t>Duke University Superfund Research Center website</w:t>
      </w:r>
      <w:r w:rsidR="009F5B2D">
        <w:rPr>
          <w:rFonts w:ascii="Calibri" w:hAnsi="Calibri" w:cs="Calibri"/>
        </w:rPr>
        <w:t xml:space="preserve"> “</w:t>
      </w:r>
      <w:r w:rsidR="009F5B2D" w:rsidRPr="009F5B2D">
        <w:rPr>
          <w:rFonts w:ascii="Calibri" w:hAnsi="Calibri" w:cs="Calibri"/>
        </w:rPr>
        <w:t>Resources for North Carolina Community Gardeners</w:t>
      </w:r>
      <w:r w:rsidR="009F5B2D">
        <w:rPr>
          <w:rFonts w:ascii="Calibri" w:hAnsi="Calibri" w:cs="Calibri"/>
        </w:rPr>
        <w:t xml:space="preserve">”: </w:t>
      </w:r>
      <w:hyperlink r:id="rId7" w:history="1">
        <w:r w:rsidR="00B3014F" w:rsidRPr="00930E17">
          <w:rPr>
            <w:rStyle w:val="Hyperlink"/>
            <w:rFonts w:ascii="Calibri" w:hAnsi="Calibri" w:cs="Calibri"/>
          </w:rPr>
          <w:t>http://sites.nicholas.duke.edu/superfund/gardens/</w:t>
        </w:r>
      </w:hyperlink>
      <w:r w:rsidR="00B3014F">
        <w:rPr>
          <w:rFonts w:ascii="Calibri" w:hAnsi="Calibri" w:cs="Calibri"/>
        </w:rPr>
        <w:t xml:space="preserve"> </w:t>
      </w:r>
    </w:p>
    <w:p w14:paraId="0D925702" w14:textId="5985BEC8" w:rsidR="007F2A6B" w:rsidRDefault="0085541F" w:rsidP="009F5B2D">
      <w:pPr>
        <w:pStyle w:val="ListParagraph"/>
        <w:numPr>
          <w:ilvl w:val="0"/>
          <w:numId w:val="5"/>
        </w:numPr>
        <w:rPr>
          <w:rFonts w:ascii="Calibri" w:hAnsi="Calibri" w:cs="Calibri"/>
        </w:rPr>
      </w:pPr>
      <w:r w:rsidRPr="0048591B">
        <w:rPr>
          <w:rFonts w:ascii="Calibri" w:hAnsi="Calibri" w:cs="Calibri"/>
        </w:rPr>
        <w:t>North Carolina Cooperative Extension</w:t>
      </w:r>
      <w:r w:rsidR="009F5B2D">
        <w:rPr>
          <w:rFonts w:ascii="Calibri" w:hAnsi="Calibri" w:cs="Calibri"/>
        </w:rPr>
        <w:t>, “Minimizing Risks of Soil Contaminants in Urban Gardens”:</w:t>
      </w:r>
      <w:r w:rsidRPr="0048591B">
        <w:rPr>
          <w:rFonts w:ascii="Calibri" w:hAnsi="Calibri" w:cs="Calibri"/>
        </w:rPr>
        <w:t xml:space="preserve"> </w:t>
      </w:r>
      <w:hyperlink r:id="rId8" w:history="1">
        <w:r w:rsidR="009F5B2D" w:rsidRPr="0098168D">
          <w:rPr>
            <w:rStyle w:val="Hyperlink"/>
            <w:rFonts w:ascii="Calibri" w:hAnsi="Calibri" w:cs="Calibri"/>
          </w:rPr>
          <w:t>https://content.ces.ncsu.edu/minimizing-risks-of-soil-contaminants-in-urban-gardens</w:t>
        </w:r>
      </w:hyperlink>
      <w:r w:rsidR="009F5B2D">
        <w:rPr>
          <w:rFonts w:ascii="Calibri" w:hAnsi="Calibri" w:cs="Calibri"/>
        </w:rPr>
        <w:t xml:space="preserve"> </w:t>
      </w:r>
    </w:p>
    <w:p w14:paraId="2FD10BFD" w14:textId="4220AC83" w:rsidR="0085541F" w:rsidRPr="0048591B" w:rsidRDefault="00B3014F" w:rsidP="00B3014F">
      <w:pPr>
        <w:pStyle w:val="ListParagraph"/>
        <w:numPr>
          <w:ilvl w:val="0"/>
          <w:numId w:val="5"/>
        </w:numPr>
        <w:rPr>
          <w:rFonts w:ascii="Calibri" w:hAnsi="Calibri" w:cs="Calibri"/>
        </w:rPr>
      </w:pPr>
      <w:r>
        <w:rPr>
          <w:rFonts w:ascii="Calibri" w:hAnsi="Calibri" w:cs="Calibri"/>
        </w:rPr>
        <w:t xml:space="preserve">NC Cooperative Extension general gardening website: </w:t>
      </w:r>
      <w:hyperlink r:id="rId9" w:history="1">
        <w:r w:rsidRPr="00930E17">
          <w:rPr>
            <w:rStyle w:val="Hyperlink"/>
            <w:rFonts w:ascii="Calibri" w:hAnsi="Calibri" w:cs="Calibri"/>
          </w:rPr>
          <w:t>https://gardening.ces.ncsu.edu/</w:t>
        </w:r>
      </w:hyperlink>
      <w:r>
        <w:rPr>
          <w:rFonts w:ascii="Calibri" w:hAnsi="Calibri" w:cs="Calibri"/>
        </w:rPr>
        <w:t xml:space="preserve"> </w:t>
      </w:r>
    </w:p>
    <w:p w14:paraId="339F9420" w14:textId="318C8B45" w:rsidR="007F2A6B" w:rsidRPr="009F5B2D" w:rsidRDefault="007F2A6B" w:rsidP="00B3014F">
      <w:pPr>
        <w:pStyle w:val="ListParagraph"/>
        <w:numPr>
          <w:ilvl w:val="0"/>
          <w:numId w:val="5"/>
        </w:numPr>
        <w:rPr>
          <w:rFonts w:ascii="Calibri" w:hAnsi="Calibri" w:cs="Calibri"/>
        </w:rPr>
      </w:pPr>
      <w:r w:rsidRPr="009F5B2D">
        <w:rPr>
          <w:rFonts w:ascii="Calibri" w:hAnsi="Calibri" w:cs="Calibri"/>
        </w:rPr>
        <w:t xml:space="preserve">North Carolina Community Garden Partners - Resources on Contaminants: </w:t>
      </w:r>
      <w:hyperlink r:id="rId10" w:history="1">
        <w:r w:rsidR="009F5B2D" w:rsidRPr="0098168D">
          <w:rPr>
            <w:rStyle w:val="Hyperlink"/>
            <w:rFonts w:ascii="Calibri" w:hAnsi="Calibri" w:cs="Calibri"/>
          </w:rPr>
          <w:t>http://www.nccgp.org/resources/tag/contaminants/</w:t>
        </w:r>
      </w:hyperlink>
      <w:r w:rsidR="009F5B2D">
        <w:rPr>
          <w:rFonts w:ascii="Calibri" w:hAnsi="Calibri" w:cs="Calibri"/>
        </w:rPr>
        <w:t xml:space="preserve"> </w:t>
      </w:r>
      <w:r w:rsidRPr="009F5B2D">
        <w:rPr>
          <w:rFonts w:ascii="Calibri" w:hAnsi="Calibri" w:cs="Calibri"/>
        </w:rPr>
        <w:t xml:space="preserve"> </w:t>
      </w:r>
      <w:r w:rsidR="009F5B2D">
        <w:rPr>
          <w:rFonts w:ascii="Calibri" w:hAnsi="Calibri" w:cs="Calibri"/>
        </w:rPr>
        <w:t xml:space="preserve"> </w:t>
      </w:r>
    </w:p>
    <w:p w14:paraId="77C7B200" w14:textId="77777777" w:rsidR="009F5B2D" w:rsidRDefault="0085541F" w:rsidP="0085541F">
      <w:r w:rsidRPr="009F5B2D">
        <w:rPr>
          <w:b/>
        </w:rPr>
        <w:t>Questions?</w:t>
      </w:r>
      <w:r w:rsidRPr="00B3014F">
        <w:t xml:space="preserve"> </w:t>
      </w:r>
    </w:p>
    <w:p w14:paraId="16B6C080" w14:textId="4304A555" w:rsidR="0085541F" w:rsidRPr="00B3014F" w:rsidRDefault="0085541F" w:rsidP="0085541F">
      <w:r w:rsidRPr="00B3014F">
        <w:t>Email Bryan Luukinen, Senior Program Coordinator for the Duke University Superfund Research Center</w:t>
      </w:r>
      <w:r w:rsidR="00B3014F">
        <w:t>:</w:t>
      </w:r>
      <w:r w:rsidRPr="00B3014F">
        <w:t xml:space="preserve"> </w:t>
      </w:r>
      <w:hyperlink r:id="rId11" w:history="1">
        <w:r w:rsidRPr="00B3014F">
          <w:t>bryan.luukinen@duke.edu</w:t>
        </w:r>
      </w:hyperlink>
      <w:r w:rsidRPr="00B3014F">
        <w:t xml:space="preserve">. </w:t>
      </w:r>
    </w:p>
    <w:p w14:paraId="1C8E96E3" w14:textId="46D14238" w:rsidR="00B820D6" w:rsidRDefault="003841FD" w:rsidP="00B820D6">
      <w:pPr>
        <w:rPr>
          <w:b/>
        </w:rPr>
      </w:pPr>
      <w:r>
        <w:rPr>
          <w:b/>
          <w:bCs/>
        </w:rPr>
        <w:t>References</w:t>
      </w:r>
    </w:p>
    <w:p w14:paraId="694C7413" w14:textId="40958B2E" w:rsidR="00B3014F" w:rsidRPr="00532AAC" w:rsidRDefault="01AA8119" w:rsidP="01AA8119">
      <w:pPr>
        <w:rPr>
          <w:rFonts w:ascii="Calibri" w:hAnsi="Calibri" w:cs="Calibri"/>
        </w:rPr>
      </w:pPr>
      <w:r w:rsidRPr="00532AAC">
        <w:rPr>
          <w:rFonts w:ascii="Calibri" w:hAnsi="Calibri" w:cs="Calibri"/>
        </w:rPr>
        <w:t xml:space="preserve">1. </w:t>
      </w:r>
      <w:r w:rsidR="0048591B" w:rsidRPr="00532AAC">
        <w:rPr>
          <w:rFonts w:ascii="Calibri" w:hAnsi="Calibri" w:cs="Calibri"/>
          <w:color w:val="000000"/>
          <w:shd w:val="clear" w:color="auto" w:fill="FFFFFF"/>
        </w:rPr>
        <w:t xml:space="preserve">Smith, D.B., Cannon, W.F., Woodruff, L.G., Solano, Federico, Kilburn, J.E., and Fey, D.L., 2013, Geochemical and mineralogical data for soils of the conterminous United States: U.S. Geological Survey Data Series 801, 19 p., </w:t>
      </w:r>
      <w:hyperlink r:id="rId12" w:history="1">
        <w:r w:rsidR="0048591B" w:rsidRPr="00532AAC">
          <w:rPr>
            <w:rStyle w:val="Hyperlink"/>
            <w:rFonts w:ascii="Calibri" w:hAnsi="Calibri" w:cs="Calibri"/>
            <w:shd w:val="clear" w:color="auto" w:fill="FFFFFF"/>
          </w:rPr>
          <w:t>https://pubs.usgs.gov/ds/801/</w:t>
        </w:r>
      </w:hyperlink>
      <w:r w:rsidR="0048591B" w:rsidRPr="00532AAC">
        <w:rPr>
          <w:rFonts w:ascii="Calibri" w:hAnsi="Calibri" w:cs="Calibri"/>
          <w:color w:val="000000"/>
          <w:shd w:val="clear" w:color="auto" w:fill="FFFFFF"/>
        </w:rPr>
        <w:t xml:space="preserve"> </w:t>
      </w:r>
    </w:p>
    <w:p w14:paraId="61A50D86" w14:textId="105ECA4C" w:rsidR="01AA8119" w:rsidRPr="00FD4AAF" w:rsidRDefault="0048591B" w:rsidP="01AA8119">
      <w:r w:rsidRPr="00532AAC">
        <w:rPr>
          <w:rFonts w:ascii="Calibri" w:hAnsi="Calibri" w:cs="Calibri"/>
        </w:rPr>
        <w:t xml:space="preserve">2. </w:t>
      </w:r>
      <w:r w:rsidR="00F5027D" w:rsidRPr="00532AAC">
        <w:rPr>
          <w:rFonts w:ascii="Calibri" w:hAnsi="Calibri" w:cs="Calibri"/>
        </w:rPr>
        <w:t xml:space="preserve">NC DEQ. Preliminary Soil Remediation Goals (PSRG) February, 2018. NC Department of Environmental Quality. Raleigh, NC. Available at: </w:t>
      </w:r>
      <w:hyperlink r:id="rId13" w:history="1">
        <w:r w:rsidR="00FD4AAF">
          <w:rPr>
            <w:rStyle w:val="Hyperlink"/>
            <w:rFonts w:ascii="Calibri" w:hAnsi="Calibri" w:cs="Calibri"/>
            <w:color w:val="954F72"/>
          </w:rPr>
          <w:t>https://files.nc.gov/ncdeq/Waste%20Management/DWM/risk_based_remediation/Feb2018_PSRGs.pdf</w:t>
        </w:r>
      </w:hyperlink>
    </w:p>
    <w:p w14:paraId="16320E85" w14:textId="0D576F54" w:rsidR="0085541F" w:rsidRPr="00532AAC" w:rsidRDefault="0048591B" w:rsidP="01AA8119">
      <w:pPr>
        <w:rPr>
          <w:rFonts w:ascii="Calibri" w:hAnsi="Calibri" w:cs="Calibri"/>
        </w:rPr>
      </w:pPr>
      <w:r w:rsidRPr="00532AAC">
        <w:rPr>
          <w:rFonts w:ascii="Calibri" w:hAnsi="Calibri" w:cs="Calibri"/>
        </w:rPr>
        <w:t>3</w:t>
      </w:r>
      <w:r w:rsidR="01AA8119" w:rsidRPr="00532AAC">
        <w:rPr>
          <w:rFonts w:ascii="Calibri" w:hAnsi="Calibri" w:cs="Calibri"/>
        </w:rPr>
        <w:t xml:space="preserve">. </w:t>
      </w:r>
      <w:r w:rsidR="00F5027D" w:rsidRPr="00532AAC">
        <w:rPr>
          <w:rFonts w:ascii="Calibri" w:hAnsi="Calibri" w:cs="Calibri"/>
        </w:rPr>
        <w:t xml:space="preserve">NYSDEC/NYSDH. New York State Brownfield Cleanup Program, Development of Soil Cleanup Objectives, Technical Support Document. New York State Department of Environmental Conservation/Department of Health. </w:t>
      </w:r>
      <w:r w:rsidR="00510D2E" w:rsidRPr="00532AAC">
        <w:rPr>
          <w:rFonts w:ascii="Calibri" w:hAnsi="Calibri" w:cs="Calibri"/>
        </w:rPr>
        <w:t xml:space="preserve">September, 2006. </w:t>
      </w:r>
      <w:r w:rsidR="00F5027D" w:rsidRPr="00532AAC">
        <w:rPr>
          <w:rFonts w:ascii="Calibri" w:hAnsi="Calibri" w:cs="Calibri"/>
        </w:rPr>
        <w:t xml:space="preserve">Albany, NY. Available at: </w:t>
      </w:r>
      <w:hyperlink r:id="rId14">
        <w:r w:rsidR="01AA8119" w:rsidRPr="00532AAC">
          <w:rPr>
            <w:rStyle w:val="Hyperlink"/>
            <w:rFonts w:ascii="Calibri" w:hAnsi="Calibri" w:cs="Calibri"/>
          </w:rPr>
          <w:t>http://www.dec.ny.gov/docs/remediation_hudson_pdf/techsuppdoc.pdf</w:t>
        </w:r>
      </w:hyperlink>
      <w:r w:rsidR="01AA8119" w:rsidRPr="00532AAC">
        <w:rPr>
          <w:rFonts w:ascii="Calibri" w:hAnsi="Calibri" w:cs="Calibri"/>
        </w:rPr>
        <w:t xml:space="preserve">  </w:t>
      </w:r>
    </w:p>
    <w:p w14:paraId="45D79BEF" w14:textId="0A72E03B" w:rsidR="01AA8119" w:rsidRDefault="01AA8119" w:rsidP="01AA8119"/>
    <w:p w14:paraId="6B3BC76E" w14:textId="1948C60A" w:rsidR="008B10EF" w:rsidRDefault="008B10EF">
      <w:r>
        <w:br w:type="page"/>
      </w:r>
    </w:p>
    <w:p w14:paraId="57BCC765" w14:textId="77777777" w:rsidR="008B10EF" w:rsidRDefault="008B10EF" w:rsidP="008B10EF">
      <w:pPr>
        <w:pStyle w:val="Heading1"/>
      </w:pPr>
      <w:r>
        <w:lastRenderedPageBreak/>
        <w:t>Soil Sampling Results (example)</w:t>
      </w:r>
    </w:p>
    <w:p w14:paraId="003A57A5" w14:textId="77777777" w:rsidR="008B10EF" w:rsidRDefault="008B10EF" w:rsidP="008B10EF">
      <w:pPr>
        <w:pStyle w:val="Heading2"/>
      </w:pPr>
    </w:p>
    <w:p w14:paraId="59410246" w14:textId="77777777" w:rsidR="008B10EF" w:rsidRPr="0043112A" w:rsidRDefault="008B10EF" w:rsidP="008B10EF">
      <w:r>
        <w:t>All values in parts per million (ppm)</w:t>
      </w:r>
    </w:p>
    <w:tbl>
      <w:tblPr>
        <w:tblStyle w:val="TableGrid"/>
        <w:tblW w:w="9360" w:type="dxa"/>
        <w:tblLook w:val="04A0" w:firstRow="1" w:lastRow="0" w:firstColumn="1" w:lastColumn="0" w:noHBand="0" w:noVBand="1"/>
      </w:tblPr>
      <w:tblGrid>
        <w:gridCol w:w="1632"/>
        <w:gridCol w:w="1424"/>
        <w:gridCol w:w="1604"/>
        <w:gridCol w:w="1479"/>
        <w:gridCol w:w="1609"/>
        <w:gridCol w:w="1612"/>
      </w:tblGrid>
      <w:tr w:rsidR="008B10EF" w14:paraId="5EA44E01" w14:textId="77777777" w:rsidTr="00C82136">
        <w:tc>
          <w:tcPr>
            <w:tcW w:w="1632" w:type="dxa"/>
            <w:shd w:val="clear" w:color="auto" w:fill="BFBFBF" w:themeFill="background1" w:themeFillShade="BF"/>
          </w:tcPr>
          <w:p w14:paraId="2E010D27" w14:textId="77777777" w:rsidR="008B10EF" w:rsidRDefault="008B10EF" w:rsidP="00C82136">
            <w:pPr>
              <w:jc w:val="center"/>
            </w:pPr>
            <w:r>
              <w:t>Metals</w:t>
            </w:r>
          </w:p>
        </w:tc>
        <w:tc>
          <w:tcPr>
            <w:tcW w:w="1424" w:type="dxa"/>
            <w:shd w:val="clear" w:color="auto" w:fill="F2F2F2" w:themeFill="background1" w:themeFillShade="F2"/>
          </w:tcPr>
          <w:p w14:paraId="79624B3C" w14:textId="77777777" w:rsidR="008B10EF" w:rsidRPr="006477AB" w:rsidRDefault="008B10EF" w:rsidP="00C82136">
            <w:pPr>
              <w:jc w:val="center"/>
              <w:rPr>
                <w:color w:val="FF9900"/>
              </w:rPr>
            </w:pPr>
            <w:r w:rsidRPr="006477AB">
              <w:rPr>
                <w:color w:val="FF9900"/>
              </w:rPr>
              <w:t>Sample 1</w:t>
            </w:r>
          </w:p>
        </w:tc>
        <w:tc>
          <w:tcPr>
            <w:tcW w:w="1604" w:type="dxa"/>
            <w:shd w:val="clear" w:color="auto" w:fill="F2F2F2" w:themeFill="background1" w:themeFillShade="F2"/>
          </w:tcPr>
          <w:p w14:paraId="4AED343B" w14:textId="77777777" w:rsidR="008B10EF" w:rsidRPr="006477AB" w:rsidRDefault="008B10EF" w:rsidP="00C82136">
            <w:pPr>
              <w:jc w:val="center"/>
              <w:rPr>
                <w:color w:val="9900CC"/>
              </w:rPr>
            </w:pPr>
            <w:r w:rsidRPr="006477AB">
              <w:rPr>
                <w:color w:val="9900CC"/>
              </w:rPr>
              <w:t>Sample 2</w:t>
            </w:r>
          </w:p>
        </w:tc>
        <w:tc>
          <w:tcPr>
            <w:tcW w:w="1479" w:type="dxa"/>
            <w:shd w:val="clear" w:color="auto" w:fill="F2F2F2" w:themeFill="background1" w:themeFillShade="F2"/>
          </w:tcPr>
          <w:p w14:paraId="08F9A9F5" w14:textId="77777777" w:rsidR="008B10EF" w:rsidRPr="006477AB" w:rsidRDefault="008B10EF" w:rsidP="00C82136">
            <w:pPr>
              <w:jc w:val="center"/>
              <w:rPr>
                <w:color w:val="70AD47" w:themeColor="accent6"/>
              </w:rPr>
            </w:pPr>
            <w:r w:rsidRPr="006477AB">
              <w:rPr>
                <w:color w:val="70AD47" w:themeColor="accent6"/>
              </w:rPr>
              <w:t>Sample 3</w:t>
            </w:r>
          </w:p>
        </w:tc>
        <w:tc>
          <w:tcPr>
            <w:tcW w:w="1609" w:type="dxa"/>
            <w:shd w:val="clear" w:color="auto" w:fill="F2F2F2" w:themeFill="background1" w:themeFillShade="F2"/>
          </w:tcPr>
          <w:p w14:paraId="6CF9CC68" w14:textId="77777777" w:rsidR="008B10EF" w:rsidRDefault="008B10EF" w:rsidP="00C82136">
            <w:pPr>
              <w:jc w:val="center"/>
            </w:pPr>
            <w:r>
              <w:t>Guideline Level</w:t>
            </w:r>
          </w:p>
        </w:tc>
        <w:tc>
          <w:tcPr>
            <w:tcW w:w="1612" w:type="dxa"/>
            <w:shd w:val="clear" w:color="auto" w:fill="F2F2F2" w:themeFill="background1" w:themeFillShade="F2"/>
          </w:tcPr>
          <w:p w14:paraId="462398A8" w14:textId="77777777" w:rsidR="008B10EF" w:rsidRDefault="008B10EF" w:rsidP="00C82136">
            <w:pPr>
              <w:jc w:val="center"/>
            </w:pPr>
            <w:r>
              <w:t>NC Background (USGS, 2013)</w:t>
            </w:r>
          </w:p>
        </w:tc>
      </w:tr>
      <w:tr w:rsidR="008B10EF" w14:paraId="2DAE992B" w14:textId="77777777" w:rsidTr="00C82136">
        <w:tc>
          <w:tcPr>
            <w:tcW w:w="1632" w:type="dxa"/>
            <w:shd w:val="clear" w:color="auto" w:fill="F2F2F2" w:themeFill="background1" w:themeFillShade="F2"/>
          </w:tcPr>
          <w:p w14:paraId="6051688F" w14:textId="77777777" w:rsidR="008B10EF" w:rsidRDefault="008B10EF" w:rsidP="00C82136">
            <w:pPr>
              <w:jc w:val="center"/>
            </w:pPr>
            <w:r>
              <w:t>Arsenic</w:t>
            </w:r>
          </w:p>
        </w:tc>
        <w:tc>
          <w:tcPr>
            <w:tcW w:w="1424" w:type="dxa"/>
            <w:shd w:val="clear" w:color="auto" w:fill="FFF2CC" w:themeFill="accent4" w:themeFillTint="33"/>
          </w:tcPr>
          <w:p w14:paraId="2E251AE1" w14:textId="77777777" w:rsidR="008B10EF" w:rsidRDefault="008B10EF" w:rsidP="00C82136">
            <w:pPr>
              <w:jc w:val="center"/>
            </w:pPr>
            <w:r>
              <w:t>2.00</w:t>
            </w:r>
          </w:p>
        </w:tc>
        <w:tc>
          <w:tcPr>
            <w:tcW w:w="1604" w:type="dxa"/>
            <w:shd w:val="clear" w:color="auto" w:fill="FFF2CC" w:themeFill="accent4" w:themeFillTint="33"/>
          </w:tcPr>
          <w:p w14:paraId="6084F6EA" w14:textId="77777777" w:rsidR="008B10EF" w:rsidRDefault="008B10EF" w:rsidP="00C82136">
            <w:pPr>
              <w:jc w:val="center"/>
            </w:pPr>
            <w:r>
              <w:t>1.44</w:t>
            </w:r>
          </w:p>
        </w:tc>
        <w:tc>
          <w:tcPr>
            <w:tcW w:w="1479" w:type="dxa"/>
            <w:shd w:val="clear" w:color="auto" w:fill="FFF2CC" w:themeFill="accent4" w:themeFillTint="33"/>
          </w:tcPr>
          <w:p w14:paraId="68014C4B" w14:textId="77777777" w:rsidR="008B10EF" w:rsidRDefault="008B10EF" w:rsidP="00C82136">
            <w:pPr>
              <w:jc w:val="center"/>
            </w:pPr>
            <w:r>
              <w:t>1.60</w:t>
            </w:r>
          </w:p>
        </w:tc>
        <w:tc>
          <w:tcPr>
            <w:tcW w:w="1609" w:type="dxa"/>
          </w:tcPr>
          <w:p w14:paraId="14D8B88F" w14:textId="77777777" w:rsidR="008B10EF" w:rsidRDefault="008B10EF" w:rsidP="00C82136">
            <w:pPr>
              <w:jc w:val="center"/>
            </w:pPr>
            <w:r>
              <w:t>0.68</w:t>
            </w:r>
          </w:p>
        </w:tc>
        <w:tc>
          <w:tcPr>
            <w:tcW w:w="1612" w:type="dxa"/>
          </w:tcPr>
          <w:p w14:paraId="592CFB39" w14:textId="77777777" w:rsidR="008B10EF" w:rsidRDefault="008B10EF" w:rsidP="00C82136">
            <w:pPr>
              <w:jc w:val="center"/>
            </w:pPr>
            <w:r>
              <w:t>3.7</w:t>
            </w:r>
          </w:p>
        </w:tc>
      </w:tr>
      <w:tr w:rsidR="008B10EF" w14:paraId="286504FF" w14:textId="77777777" w:rsidTr="00C82136">
        <w:tc>
          <w:tcPr>
            <w:tcW w:w="1632" w:type="dxa"/>
            <w:shd w:val="clear" w:color="auto" w:fill="F2F2F2" w:themeFill="background1" w:themeFillShade="F2"/>
          </w:tcPr>
          <w:p w14:paraId="1E36C9D6" w14:textId="77777777" w:rsidR="008B10EF" w:rsidRDefault="008B10EF" w:rsidP="00C82136">
            <w:pPr>
              <w:jc w:val="center"/>
            </w:pPr>
            <w:r>
              <w:t>Cadmium</w:t>
            </w:r>
          </w:p>
        </w:tc>
        <w:tc>
          <w:tcPr>
            <w:tcW w:w="1424" w:type="dxa"/>
            <w:shd w:val="clear" w:color="auto" w:fill="E2EFD9" w:themeFill="accent6" w:themeFillTint="33"/>
          </w:tcPr>
          <w:p w14:paraId="36E9C799" w14:textId="77777777" w:rsidR="008B10EF" w:rsidRDefault="008B10EF" w:rsidP="00C82136">
            <w:pPr>
              <w:jc w:val="center"/>
            </w:pPr>
            <w:r>
              <w:t>0.15</w:t>
            </w:r>
          </w:p>
        </w:tc>
        <w:tc>
          <w:tcPr>
            <w:tcW w:w="1604" w:type="dxa"/>
            <w:shd w:val="clear" w:color="auto" w:fill="E2EFD9" w:themeFill="accent6" w:themeFillTint="33"/>
          </w:tcPr>
          <w:p w14:paraId="419AFC8B" w14:textId="77777777" w:rsidR="008B10EF" w:rsidRDefault="008B10EF" w:rsidP="00C82136">
            <w:pPr>
              <w:jc w:val="center"/>
            </w:pPr>
            <w:r>
              <w:t>0.10</w:t>
            </w:r>
          </w:p>
        </w:tc>
        <w:tc>
          <w:tcPr>
            <w:tcW w:w="1479" w:type="dxa"/>
            <w:shd w:val="clear" w:color="auto" w:fill="E2EFD9" w:themeFill="accent6" w:themeFillTint="33"/>
          </w:tcPr>
          <w:p w14:paraId="71D730AB" w14:textId="77777777" w:rsidR="008B10EF" w:rsidRDefault="008B10EF" w:rsidP="00C82136">
            <w:pPr>
              <w:jc w:val="center"/>
            </w:pPr>
            <w:r>
              <w:t>0.10</w:t>
            </w:r>
          </w:p>
        </w:tc>
        <w:tc>
          <w:tcPr>
            <w:tcW w:w="1609" w:type="dxa"/>
          </w:tcPr>
          <w:p w14:paraId="6772F798" w14:textId="77777777" w:rsidR="008B10EF" w:rsidRDefault="008B10EF" w:rsidP="00C82136">
            <w:pPr>
              <w:jc w:val="center"/>
            </w:pPr>
            <w:r>
              <w:t>14.2</w:t>
            </w:r>
          </w:p>
        </w:tc>
        <w:tc>
          <w:tcPr>
            <w:tcW w:w="1612" w:type="dxa"/>
          </w:tcPr>
          <w:p w14:paraId="40917C94" w14:textId="77777777" w:rsidR="008B10EF" w:rsidRDefault="008B10EF" w:rsidP="00C82136">
            <w:pPr>
              <w:jc w:val="center"/>
            </w:pPr>
            <w:r>
              <w:t>0.16</w:t>
            </w:r>
          </w:p>
        </w:tc>
      </w:tr>
      <w:tr w:rsidR="008B10EF" w14:paraId="410D3839" w14:textId="77777777" w:rsidTr="00C82136">
        <w:tc>
          <w:tcPr>
            <w:tcW w:w="1632" w:type="dxa"/>
            <w:shd w:val="clear" w:color="auto" w:fill="F2F2F2" w:themeFill="background1" w:themeFillShade="F2"/>
          </w:tcPr>
          <w:p w14:paraId="467D6C33" w14:textId="77777777" w:rsidR="008B10EF" w:rsidRDefault="008B10EF" w:rsidP="00C82136">
            <w:pPr>
              <w:jc w:val="center"/>
            </w:pPr>
            <w:r>
              <w:t>Chromium</w:t>
            </w:r>
          </w:p>
        </w:tc>
        <w:tc>
          <w:tcPr>
            <w:tcW w:w="1424" w:type="dxa"/>
            <w:shd w:val="clear" w:color="auto" w:fill="FFF2CC" w:themeFill="accent4" w:themeFillTint="33"/>
          </w:tcPr>
          <w:p w14:paraId="54ACB7E5" w14:textId="77777777" w:rsidR="008B10EF" w:rsidRDefault="008B10EF" w:rsidP="00C82136">
            <w:pPr>
              <w:jc w:val="center"/>
            </w:pPr>
            <w:r>
              <w:t>12.5</w:t>
            </w:r>
          </w:p>
        </w:tc>
        <w:tc>
          <w:tcPr>
            <w:tcW w:w="1604" w:type="dxa"/>
            <w:shd w:val="clear" w:color="auto" w:fill="FFF2CC" w:themeFill="accent4" w:themeFillTint="33"/>
          </w:tcPr>
          <w:p w14:paraId="01179E18" w14:textId="77777777" w:rsidR="008B10EF" w:rsidRDefault="008B10EF" w:rsidP="00C82136">
            <w:pPr>
              <w:jc w:val="center"/>
            </w:pPr>
            <w:r>
              <w:t>8.04</w:t>
            </w:r>
          </w:p>
        </w:tc>
        <w:tc>
          <w:tcPr>
            <w:tcW w:w="1479" w:type="dxa"/>
            <w:shd w:val="clear" w:color="auto" w:fill="FFF2CC" w:themeFill="accent4" w:themeFillTint="33"/>
          </w:tcPr>
          <w:p w14:paraId="0218A04A" w14:textId="77777777" w:rsidR="008B10EF" w:rsidRDefault="008B10EF" w:rsidP="00C82136">
            <w:pPr>
              <w:jc w:val="center"/>
            </w:pPr>
            <w:r>
              <w:t>8.05</w:t>
            </w:r>
          </w:p>
        </w:tc>
        <w:tc>
          <w:tcPr>
            <w:tcW w:w="1609" w:type="dxa"/>
          </w:tcPr>
          <w:p w14:paraId="05C9F8C0" w14:textId="77777777" w:rsidR="008B10EF" w:rsidRDefault="008B10EF" w:rsidP="00C82136">
            <w:pPr>
              <w:jc w:val="center"/>
            </w:pPr>
            <w:r>
              <w:t>(III) = 24,000</w:t>
            </w:r>
          </w:p>
          <w:p w14:paraId="30588FC3" w14:textId="77777777" w:rsidR="008B10EF" w:rsidRDefault="008B10EF" w:rsidP="00C82136">
            <w:pPr>
              <w:jc w:val="center"/>
            </w:pPr>
            <w:r>
              <w:t>(VI) = 0.3</w:t>
            </w:r>
          </w:p>
        </w:tc>
        <w:tc>
          <w:tcPr>
            <w:tcW w:w="1612" w:type="dxa"/>
          </w:tcPr>
          <w:p w14:paraId="50900B45" w14:textId="77777777" w:rsidR="008B10EF" w:rsidRDefault="008B10EF" w:rsidP="00C82136">
            <w:pPr>
              <w:jc w:val="center"/>
            </w:pPr>
            <w:r>
              <w:t>32.42</w:t>
            </w:r>
          </w:p>
        </w:tc>
      </w:tr>
      <w:tr w:rsidR="008B10EF" w14:paraId="6999ADE6" w14:textId="77777777" w:rsidTr="00C82136">
        <w:tc>
          <w:tcPr>
            <w:tcW w:w="1632" w:type="dxa"/>
            <w:shd w:val="clear" w:color="auto" w:fill="F2F2F2" w:themeFill="background1" w:themeFillShade="F2"/>
          </w:tcPr>
          <w:p w14:paraId="3332BA99" w14:textId="77777777" w:rsidR="008B10EF" w:rsidRDefault="008B10EF" w:rsidP="00C82136">
            <w:pPr>
              <w:jc w:val="center"/>
            </w:pPr>
            <w:r>
              <w:t>Nickel</w:t>
            </w:r>
          </w:p>
        </w:tc>
        <w:tc>
          <w:tcPr>
            <w:tcW w:w="1424" w:type="dxa"/>
            <w:shd w:val="clear" w:color="auto" w:fill="E2EFD9" w:themeFill="accent6" w:themeFillTint="33"/>
          </w:tcPr>
          <w:p w14:paraId="3C2D5BE5" w14:textId="77777777" w:rsidR="008B10EF" w:rsidRDefault="008B10EF" w:rsidP="00C82136">
            <w:pPr>
              <w:jc w:val="center"/>
            </w:pPr>
            <w:r>
              <w:t>4.06</w:t>
            </w:r>
          </w:p>
        </w:tc>
        <w:tc>
          <w:tcPr>
            <w:tcW w:w="1604" w:type="dxa"/>
            <w:shd w:val="clear" w:color="auto" w:fill="E2EFD9" w:themeFill="accent6" w:themeFillTint="33"/>
          </w:tcPr>
          <w:p w14:paraId="332B31A4" w14:textId="77777777" w:rsidR="008B10EF" w:rsidRDefault="008B10EF" w:rsidP="00C82136">
            <w:pPr>
              <w:jc w:val="center"/>
            </w:pPr>
            <w:r>
              <w:t>3.54</w:t>
            </w:r>
          </w:p>
        </w:tc>
        <w:tc>
          <w:tcPr>
            <w:tcW w:w="1479" w:type="dxa"/>
            <w:shd w:val="clear" w:color="auto" w:fill="E2EFD9" w:themeFill="accent6" w:themeFillTint="33"/>
          </w:tcPr>
          <w:p w14:paraId="1B1C2511" w14:textId="77777777" w:rsidR="008B10EF" w:rsidRDefault="008B10EF" w:rsidP="00C82136">
            <w:pPr>
              <w:jc w:val="center"/>
            </w:pPr>
            <w:r>
              <w:t>2.99</w:t>
            </w:r>
          </w:p>
        </w:tc>
        <w:tc>
          <w:tcPr>
            <w:tcW w:w="1609" w:type="dxa"/>
          </w:tcPr>
          <w:p w14:paraId="21C6B167" w14:textId="77777777" w:rsidR="008B10EF" w:rsidRDefault="008B10EF" w:rsidP="00C82136">
            <w:pPr>
              <w:jc w:val="center"/>
            </w:pPr>
            <w:r>
              <w:t>134</w:t>
            </w:r>
          </w:p>
        </w:tc>
        <w:tc>
          <w:tcPr>
            <w:tcW w:w="1612" w:type="dxa"/>
          </w:tcPr>
          <w:p w14:paraId="5E90870C" w14:textId="77777777" w:rsidR="008B10EF" w:rsidRDefault="008B10EF" w:rsidP="00C82136">
            <w:pPr>
              <w:jc w:val="center"/>
            </w:pPr>
            <w:r>
              <w:t>11.6</w:t>
            </w:r>
          </w:p>
        </w:tc>
      </w:tr>
      <w:tr w:rsidR="008B10EF" w14:paraId="4F08BB0C" w14:textId="77777777" w:rsidTr="00C82136">
        <w:tc>
          <w:tcPr>
            <w:tcW w:w="1632" w:type="dxa"/>
            <w:shd w:val="clear" w:color="auto" w:fill="F2F2F2" w:themeFill="background1" w:themeFillShade="F2"/>
          </w:tcPr>
          <w:p w14:paraId="47B148E4" w14:textId="77777777" w:rsidR="008B10EF" w:rsidRDefault="008B10EF" w:rsidP="00C82136">
            <w:pPr>
              <w:jc w:val="center"/>
            </w:pPr>
            <w:r>
              <w:t>Lead</w:t>
            </w:r>
          </w:p>
        </w:tc>
        <w:tc>
          <w:tcPr>
            <w:tcW w:w="1424" w:type="dxa"/>
            <w:shd w:val="clear" w:color="auto" w:fill="E2EFD9" w:themeFill="accent6" w:themeFillTint="33"/>
          </w:tcPr>
          <w:p w14:paraId="774621B9" w14:textId="77777777" w:rsidR="008B10EF" w:rsidRDefault="008B10EF" w:rsidP="00C82136">
            <w:pPr>
              <w:jc w:val="center"/>
            </w:pPr>
            <w:r>
              <w:t>18.6</w:t>
            </w:r>
          </w:p>
        </w:tc>
        <w:tc>
          <w:tcPr>
            <w:tcW w:w="1604" w:type="dxa"/>
            <w:shd w:val="clear" w:color="auto" w:fill="E2EFD9" w:themeFill="accent6" w:themeFillTint="33"/>
          </w:tcPr>
          <w:p w14:paraId="5888C0AC" w14:textId="77777777" w:rsidR="008B10EF" w:rsidRDefault="008B10EF" w:rsidP="00C82136">
            <w:pPr>
              <w:jc w:val="center"/>
            </w:pPr>
            <w:r>
              <w:t>18.8</w:t>
            </w:r>
          </w:p>
        </w:tc>
        <w:tc>
          <w:tcPr>
            <w:tcW w:w="1479" w:type="dxa"/>
            <w:shd w:val="clear" w:color="auto" w:fill="E2EFD9" w:themeFill="accent6" w:themeFillTint="33"/>
          </w:tcPr>
          <w:p w14:paraId="11547A1A" w14:textId="77777777" w:rsidR="008B10EF" w:rsidRDefault="008B10EF" w:rsidP="00C82136">
            <w:pPr>
              <w:jc w:val="center"/>
            </w:pPr>
            <w:r>
              <w:t>20.4</w:t>
            </w:r>
          </w:p>
        </w:tc>
        <w:tc>
          <w:tcPr>
            <w:tcW w:w="1609" w:type="dxa"/>
          </w:tcPr>
          <w:p w14:paraId="70DCF555" w14:textId="77777777" w:rsidR="008B10EF" w:rsidRDefault="008B10EF" w:rsidP="00C82136">
            <w:pPr>
              <w:jc w:val="center"/>
            </w:pPr>
            <w:r>
              <w:t>400</w:t>
            </w:r>
          </w:p>
        </w:tc>
        <w:tc>
          <w:tcPr>
            <w:tcW w:w="1612" w:type="dxa"/>
          </w:tcPr>
          <w:p w14:paraId="67BCBF6E" w14:textId="77777777" w:rsidR="008B10EF" w:rsidRDefault="008B10EF" w:rsidP="00C82136">
            <w:pPr>
              <w:jc w:val="center"/>
            </w:pPr>
            <w:r>
              <w:t>21.3</w:t>
            </w:r>
          </w:p>
        </w:tc>
      </w:tr>
      <w:tr w:rsidR="008B10EF" w14:paraId="0FBE1911" w14:textId="77777777" w:rsidTr="00C82136">
        <w:tc>
          <w:tcPr>
            <w:tcW w:w="1632" w:type="dxa"/>
            <w:shd w:val="clear" w:color="auto" w:fill="F2F2F2" w:themeFill="background1" w:themeFillShade="F2"/>
          </w:tcPr>
          <w:p w14:paraId="1CFC9E44" w14:textId="77777777" w:rsidR="008B10EF" w:rsidRDefault="008B10EF" w:rsidP="00C82136">
            <w:pPr>
              <w:jc w:val="center"/>
            </w:pPr>
            <w:r>
              <w:t>Mercury</w:t>
            </w:r>
          </w:p>
        </w:tc>
        <w:tc>
          <w:tcPr>
            <w:tcW w:w="1424" w:type="dxa"/>
            <w:shd w:val="clear" w:color="auto" w:fill="DEEAF6" w:themeFill="accent1" w:themeFillTint="33"/>
          </w:tcPr>
          <w:p w14:paraId="2250678E" w14:textId="77777777" w:rsidR="008B10EF" w:rsidRDefault="008B10EF" w:rsidP="00C82136">
            <w:pPr>
              <w:jc w:val="center"/>
            </w:pPr>
            <w:r>
              <w:t>&lt;0.050</w:t>
            </w:r>
          </w:p>
        </w:tc>
        <w:tc>
          <w:tcPr>
            <w:tcW w:w="1604" w:type="dxa"/>
            <w:shd w:val="clear" w:color="auto" w:fill="DEEAF6" w:themeFill="accent1" w:themeFillTint="33"/>
          </w:tcPr>
          <w:p w14:paraId="01A165B1" w14:textId="77777777" w:rsidR="008B10EF" w:rsidRDefault="008B10EF" w:rsidP="00C82136">
            <w:pPr>
              <w:jc w:val="center"/>
            </w:pPr>
            <w:r>
              <w:t>&lt;0.050</w:t>
            </w:r>
          </w:p>
        </w:tc>
        <w:tc>
          <w:tcPr>
            <w:tcW w:w="1479" w:type="dxa"/>
            <w:shd w:val="clear" w:color="auto" w:fill="DEEAF6" w:themeFill="accent1" w:themeFillTint="33"/>
          </w:tcPr>
          <w:p w14:paraId="27C6E622" w14:textId="77777777" w:rsidR="008B10EF" w:rsidRDefault="008B10EF" w:rsidP="00C82136">
            <w:pPr>
              <w:jc w:val="center"/>
            </w:pPr>
            <w:r>
              <w:t>&lt;0.050</w:t>
            </w:r>
          </w:p>
        </w:tc>
        <w:tc>
          <w:tcPr>
            <w:tcW w:w="1609" w:type="dxa"/>
          </w:tcPr>
          <w:p w14:paraId="14776DFD" w14:textId="77777777" w:rsidR="008B10EF" w:rsidRDefault="008B10EF" w:rsidP="00C82136">
            <w:pPr>
              <w:jc w:val="center"/>
            </w:pPr>
            <w:r>
              <w:t>Elemental = 2.2; Chloride and salts = 4.6</w:t>
            </w:r>
          </w:p>
        </w:tc>
        <w:tc>
          <w:tcPr>
            <w:tcW w:w="1612" w:type="dxa"/>
          </w:tcPr>
          <w:p w14:paraId="44C33466" w14:textId="77777777" w:rsidR="008B10EF" w:rsidRDefault="008B10EF" w:rsidP="00C82136">
            <w:pPr>
              <w:jc w:val="center"/>
            </w:pPr>
            <w:r>
              <w:t>0.060</w:t>
            </w:r>
          </w:p>
        </w:tc>
      </w:tr>
      <w:tr w:rsidR="008B10EF" w14:paraId="04F656F8" w14:textId="77777777" w:rsidTr="00C82136">
        <w:tc>
          <w:tcPr>
            <w:tcW w:w="1632" w:type="dxa"/>
            <w:shd w:val="clear" w:color="auto" w:fill="F2F2F2" w:themeFill="background1" w:themeFillShade="F2"/>
          </w:tcPr>
          <w:p w14:paraId="0AD46178" w14:textId="77777777" w:rsidR="008B10EF" w:rsidRDefault="008B10EF" w:rsidP="00C82136">
            <w:pPr>
              <w:jc w:val="center"/>
            </w:pPr>
            <w:r>
              <w:t>pH</w:t>
            </w:r>
          </w:p>
        </w:tc>
        <w:tc>
          <w:tcPr>
            <w:tcW w:w="1424" w:type="dxa"/>
          </w:tcPr>
          <w:p w14:paraId="10ABE63A" w14:textId="77777777" w:rsidR="008B10EF" w:rsidRDefault="008B10EF" w:rsidP="00C82136">
            <w:pPr>
              <w:jc w:val="center"/>
            </w:pPr>
            <w:r>
              <w:t>6.47</w:t>
            </w:r>
          </w:p>
        </w:tc>
        <w:tc>
          <w:tcPr>
            <w:tcW w:w="1604" w:type="dxa"/>
          </w:tcPr>
          <w:p w14:paraId="2DAC0A4D" w14:textId="77777777" w:rsidR="008B10EF" w:rsidRDefault="008B10EF" w:rsidP="00C82136">
            <w:pPr>
              <w:jc w:val="center"/>
            </w:pPr>
            <w:r>
              <w:t>6.62</w:t>
            </w:r>
          </w:p>
        </w:tc>
        <w:tc>
          <w:tcPr>
            <w:tcW w:w="1479" w:type="dxa"/>
          </w:tcPr>
          <w:p w14:paraId="3C13ED89" w14:textId="77777777" w:rsidR="008B10EF" w:rsidRDefault="008B10EF" w:rsidP="00C82136">
            <w:pPr>
              <w:jc w:val="center"/>
            </w:pPr>
            <w:r>
              <w:t>6.37</w:t>
            </w:r>
          </w:p>
        </w:tc>
        <w:tc>
          <w:tcPr>
            <w:tcW w:w="1609" w:type="dxa"/>
          </w:tcPr>
          <w:p w14:paraId="638C7822" w14:textId="77777777" w:rsidR="008B10EF" w:rsidRDefault="008B10EF" w:rsidP="00C82136">
            <w:pPr>
              <w:jc w:val="center"/>
            </w:pPr>
            <w:r>
              <w:t>N/A</w:t>
            </w:r>
          </w:p>
        </w:tc>
        <w:tc>
          <w:tcPr>
            <w:tcW w:w="1612" w:type="dxa"/>
          </w:tcPr>
          <w:p w14:paraId="1EE9A89D" w14:textId="77777777" w:rsidR="008B10EF" w:rsidRDefault="008B10EF" w:rsidP="00C82136">
            <w:pPr>
              <w:jc w:val="center"/>
            </w:pPr>
            <w:r>
              <w:t>N/A</w:t>
            </w:r>
          </w:p>
        </w:tc>
      </w:tr>
      <w:tr w:rsidR="008B10EF" w14:paraId="162325E6" w14:textId="77777777" w:rsidTr="00C82136">
        <w:tc>
          <w:tcPr>
            <w:tcW w:w="1632" w:type="dxa"/>
            <w:shd w:val="clear" w:color="auto" w:fill="BFBFBF" w:themeFill="background1" w:themeFillShade="BF"/>
          </w:tcPr>
          <w:p w14:paraId="797329F4" w14:textId="77777777" w:rsidR="008B10EF" w:rsidRDefault="008B10EF" w:rsidP="00C82136">
            <w:pPr>
              <w:jc w:val="center"/>
            </w:pPr>
            <w:r>
              <w:t>Petroleum Hydrocarbons</w:t>
            </w:r>
          </w:p>
        </w:tc>
        <w:tc>
          <w:tcPr>
            <w:tcW w:w="1424" w:type="dxa"/>
            <w:shd w:val="clear" w:color="auto" w:fill="F2F2F2" w:themeFill="background1" w:themeFillShade="F2"/>
          </w:tcPr>
          <w:p w14:paraId="521D68E1" w14:textId="77777777" w:rsidR="008B10EF" w:rsidRDefault="008B10EF" w:rsidP="00C82136">
            <w:pPr>
              <w:jc w:val="center"/>
            </w:pPr>
            <w:r w:rsidRPr="006477AB">
              <w:rPr>
                <w:color w:val="FF9900"/>
              </w:rPr>
              <w:t>Sample 1</w:t>
            </w:r>
          </w:p>
        </w:tc>
        <w:tc>
          <w:tcPr>
            <w:tcW w:w="1604" w:type="dxa"/>
            <w:shd w:val="clear" w:color="auto" w:fill="F2F2F2" w:themeFill="background1" w:themeFillShade="F2"/>
          </w:tcPr>
          <w:p w14:paraId="4D4D67AA" w14:textId="77777777" w:rsidR="008B10EF" w:rsidRDefault="008B10EF" w:rsidP="00C82136">
            <w:pPr>
              <w:jc w:val="center"/>
            </w:pPr>
            <w:r w:rsidRPr="006477AB">
              <w:rPr>
                <w:color w:val="9900CC"/>
              </w:rPr>
              <w:t>Sample 2</w:t>
            </w:r>
          </w:p>
        </w:tc>
        <w:tc>
          <w:tcPr>
            <w:tcW w:w="1479" w:type="dxa"/>
            <w:shd w:val="clear" w:color="auto" w:fill="F2F2F2" w:themeFill="background1" w:themeFillShade="F2"/>
          </w:tcPr>
          <w:p w14:paraId="2D8EBC20" w14:textId="77777777" w:rsidR="008B10EF" w:rsidRDefault="008B10EF" w:rsidP="00C82136">
            <w:pPr>
              <w:jc w:val="center"/>
            </w:pPr>
            <w:r w:rsidRPr="006477AB">
              <w:rPr>
                <w:color w:val="70AD47" w:themeColor="accent6"/>
              </w:rPr>
              <w:t>Sample 3</w:t>
            </w:r>
          </w:p>
        </w:tc>
        <w:tc>
          <w:tcPr>
            <w:tcW w:w="1609" w:type="dxa"/>
            <w:shd w:val="clear" w:color="auto" w:fill="F2F2F2" w:themeFill="background1" w:themeFillShade="F2"/>
          </w:tcPr>
          <w:p w14:paraId="57D3E985" w14:textId="77777777" w:rsidR="008B10EF" w:rsidRDefault="008B10EF" w:rsidP="00C82136">
            <w:pPr>
              <w:jc w:val="center"/>
            </w:pPr>
            <w:r>
              <w:t>Guideline Level</w:t>
            </w:r>
          </w:p>
        </w:tc>
        <w:tc>
          <w:tcPr>
            <w:tcW w:w="1612" w:type="dxa"/>
            <w:shd w:val="clear" w:color="auto" w:fill="A5A5A5" w:themeFill="accent3"/>
          </w:tcPr>
          <w:p w14:paraId="77B2819C" w14:textId="77777777" w:rsidR="008B10EF" w:rsidRDefault="008B10EF" w:rsidP="00C82136">
            <w:pPr>
              <w:jc w:val="center"/>
            </w:pPr>
          </w:p>
        </w:tc>
      </w:tr>
      <w:tr w:rsidR="008B10EF" w14:paraId="05B549C0" w14:textId="77777777" w:rsidTr="00C82136">
        <w:tc>
          <w:tcPr>
            <w:tcW w:w="1632" w:type="dxa"/>
            <w:shd w:val="clear" w:color="auto" w:fill="F2F2F2" w:themeFill="background1" w:themeFillShade="F2"/>
          </w:tcPr>
          <w:p w14:paraId="5D71B581" w14:textId="77777777" w:rsidR="008B10EF" w:rsidRDefault="008B10EF" w:rsidP="00C82136">
            <w:pPr>
              <w:jc w:val="center"/>
            </w:pPr>
            <w:r>
              <w:t>BTEX</w:t>
            </w:r>
          </w:p>
        </w:tc>
        <w:tc>
          <w:tcPr>
            <w:tcW w:w="1424" w:type="dxa"/>
            <w:shd w:val="clear" w:color="auto" w:fill="DEEAF6" w:themeFill="accent1" w:themeFillTint="33"/>
          </w:tcPr>
          <w:p w14:paraId="6E4D049B" w14:textId="77777777" w:rsidR="008B10EF" w:rsidRDefault="008B10EF" w:rsidP="00C82136">
            <w:pPr>
              <w:jc w:val="center"/>
            </w:pPr>
            <w:r>
              <w:t>&lt;0.97</w:t>
            </w:r>
          </w:p>
        </w:tc>
        <w:tc>
          <w:tcPr>
            <w:tcW w:w="1604" w:type="dxa"/>
            <w:shd w:val="clear" w:color="auto" w:fill="DEEAF6" w:themeFill="accent1" w:themeFillTint="33"/>
          </w:tcPr>
          <w:p w14:paraId="1BB699FC" w14:textId="77777777" w:rsidR="008B10EF" w:rsidRDefault="008B10EF" w:rsidP="00C82136">
            <w:pPr>
              <w:jc w:val="center"/>
            </w:pPr>
            <w:r>
              <w:t>&lt;0.93</w:t>
            </w:r>
          </w:p>
        </w:tc>
        <w:tc>
          <w:tcPr>
            <w:tcW w:w="1479" w:type="dxa"/>
            <w:shd w:val="clear" w:color="auto" w:fill="DEEAF6" w:themeFill="accent1" w:themeFillTint="33"/>
          </w:tcPr>
          <w:p w14:paraId="473E0CC6" w14:textId="77777777" w:rsidR="008B10EF" w:rsidRDefault="008B10EF" w:rsidP="00C82136">
            <w:pPr>
              <w:jc w:val="center"/>
            </w:pPr>
            <w:r>
              <w:t>&lt;1.8</w:t>
            </w:r>
          </w:p>
        </w:tc>
        <w:tc>
          <w:tcPr>
            <w:tcW w:w="1609" w:type="dxa"/>
          </w:tcPr>
          <w:p w14:paraId="327CD28F" w14:textId="77777777" w:rsidR="008B10EF" w:rsidRDefault="008B10EF" w:rsidP="00C82136">
            <w:pPr>
              <w:jc w:val="center"/>
            </w:pPr>
            <w:r>
              <w:t>Benzene = 2.9; TEX = 100</w:t>
            </w:r>
          </w:p>
        </w:tc>
        <w:tc>
          <w:tcPr>
            <w:tcW w:w="1612" w:type="dxa"/>
            <w:shd w:val="clear" w:color="auto" w:fill="A5A5A5" w:themeFill="accent3"/>
          </w:tcPr>
          <w:p w14:paraId="79A68E7D" w14:textId="77777777" w:rsidR="008B10EF" w:rsidRDefault="008B10EF" w:rsidP="00C82136">
            <w:pPr>
              <w:jc w:val="center"/>
            </w:pPr>
          </w:p>
        </w:tc>
      </w:tr>
      <w:tr w:rsidR="008B10EF" w14:paraId="663AE5D1" w14:textId="77777777" w:rsidTr="00C82136">
        <w:tc>
          <w:tcPr>
            <w:tcW w:w="1632" w:type="dxa"/>
            <w:shd w:val="clear" w:color="auto" w:fill="F2F2F2" w:themeFill="background1" w:themeFillShade="F2"/>
          </w:tcPr>
          <w:p w14:paraId="16DAF370" w14:textId="77777777" w:rsidR="008B10EF" w:rsidRDefault="008B10EF" w:rsidP="00C82136">
            <w:pPr>
              <w:jc w:val="center"/>
            </w:pPr>
            <w:r>
              <w:t>GRO</w:t>
            </w:r>
          </w:p>
        </w:tc>
        <w:tc>
          <w:tcPr>
            <w:tcW w:w="1424" w:type="dxa"/>
            <w:shd w:val="clear" w:color="auto" w:fill="DEEAF6" w:themeFill="accent1" w:themeFillTint="33"/>
          </w:tcPr>
          <w:p w14:paraId="68B9DB5D" w14:textId="77777777" w:rsidR="008B10EF" w:rsidRDefault="008B10EF" w:rsidP="00C82136">
            <w:pPr>
              <w:jc w:val="center"/>
            </w:pPr>
            <w:r>
              <w:t>&lt;0.97</w:t>
            </w:r>
          </w:p>
        </w:tc>
        <w:tc>
          <w:tcPr>
            <w:tcW w:w="1604" w:type="dxa"/>
            <w:shd w:val="clear" w:color="auto" w:fill="DEEAF6" w:themeFill="accent1" w:themeFillTint="33"/>
          </w:tcPr>
          <w:p w14:paraId="3D216A28" w14:textId="77777777" w:rsidR="008B10EF" w:rsidRDefault="008B10EF" w:rsidP="00C82136">
            <w:pPr>
              <w:jc w:val="center"/>
            </w:pPr>
            <w:r>
              <w:t>&lt;0.93</w:t>
            </w:r>
          </w:p>
        </w:tc>
        <w:tc>
          <w:tcPr>
            <w:tcW w:w="1479" w:type="dxa"/>
            <w:shd w:val="clear" w:color="auto" w:fill="E2EFD9" w:themeFill="accent6" w:themeFillTint="33"/>
          </w:tcPr>
          <w:p w14:paraId="45F26589" w14:textId="77777777" w:rsidR="008B10EF" w:rsidRDefault="008B10EF" w:rsidP="00C82136">
            <w:pPr>
              <w:jc w:val="center"/>
            </w:pPr>
            <w:r>
              <w:t>1.1</w:t>
            </w:r>
          </w:p>
        </w:tc>
        <w:tc>
          <w:tcPr>
            <w:tcW w:w="1609" w:type="dxa"/>
          </w:tcPr>
          <w:p w14:paraId="7F2E0CE9" w14:textId="77777777" w:rsidR="008B10EF" w:rsidRDefault="008B10EF" w:rsidP="00C82136">
            <w:pPr>
              <w:jc w:val="center"/>
            </w:pPr>
            <w:r>
              <w:t>10</w:t>
            </w:r>
          </w:p>
        </w:tc>
        <w:tc>
          <w:tcPr>
            <w:tcW w:w="1612" w:type="dxa"/>
            <w:shd w:val="clear" w:color="auto" w:fill="A5A5A5" w:themeFill="accent3"/>
          </w:tcPr>
          <w:p w14:paraId="24B2462D" w14:textId="77777777" w:rsidR="008B10EF" w:rsidRDefault="008B10EF" w:rsidP="00C82136">
            <w:pPr>
              <w:jc w:val="center"/>
            </w:pPr>
          </w:p>
        </w:tc>
      </w:tr>
      <w:tr w:rsidR="008B10EF" w14:paraId="17DD87F0" w14:textId="77777777" w:rsidTr="00C82136">
        <w:tc>
          <w:tcPr>
            <w:tcW w:w="1632" w:type="dxa"/>
            <w:shd w:val="clear" w:color="auto" w:fill="F2F2F2" w:themeFill="background1" w:themeFillShade="F2"/>
          </w:tcPr>
          <w:p w14:paraId="7C8F68FA" w14:textId="77777777" w:rsidR="008B10EF" w:rsidRDefault="008B10EF" w:rsidP="00C82136">
            <w:pPr>
              <w:jc w:val="center"/>
            </w:pPr>
            <w:r>
              <w:t>DRO</w:t>
            </w:r>
          </w:p>
        </w:tc>
        <w:tc>
          <w:tcPr>
            <w:tcW w:w="1424" w:type="dxa"/>
            <w:shd w:val="clear" w:color="auto" w:fill="E2EFD9" w:themeFill="accent6" w:themeFillTint="33"/>
          </w:tcPr>
          <w:p w14:paraId="24BB27CC" w14:textId="77777777" w:rsidR="008B10EF" w:rsidRDefault="008B10EF" w:rsidP="00C82136">
            <w:pPr>
              <w:jc w:val="center"/>
            </w:pPr>
            <w:r>
              <w:t>7.7</w:t>
            </w:r>
          </w:p>
        </w:tc>
        <w:tc>
          <w:tcPr>
            <w:tcW w:w="1604" w:type="dxa"/>
            <w:shd w:val="clear" w:color="auto" w:fill="FFF2CC" w:themeFill="accent4" w:themeFillTint="33"/>
          </w:tcPr>
          <w:p w14:paraId="3AF28305" w14:textId="77777777" w:rsidR="008B10EF" w:rsidRDefault="008B10EF" w:rsidP="00C82136">
            <w:pPr>
              <w:jc w:val="center"/>
            </w:pPr>
            <w:r>
              <w:t>10.8</w:t>
            </w:r>
          </w:p>
        </w:tc>
        <w:tc>
          <w:tcPr>
            <w:tcW w:w="1479" w:type="dxa"/>
            <w:shd w:val="clear" w:color="auto" w:fill="E2EFD9" w:themeFill="accent6" w:themeFillTint="33"/>
          </w:tcPr>
          <w:p w14:paraId="04991C5B" w14:textId="77777777" w:rsidR="008B10EF" w:rsidRDefault="008B10EF" w:rsidP="00C82136">
            <w:pPr>
              <w:jc w:val="center"/>
            </w:pPr>
            <w:r>
              <w:t>6.3</w:t>
            </w:r>
          </w:p>
        </w:tc>
        <w:tc>
          <w:tcPr>
            <w:tcW w:w="1609" w:type="dxa"/>
          </w:tcPr>
          <w:p w14:paraId="00E171C1" w14:textId="77777777" w:rsidR="008B10EF" w:rsidRDefault="008B10EF" w:rsidP="00C82136">
            <w:pPr>
              <w:jc w:val="center"/>
            </w:pPr>
            <w:r>
              <w:t>10</w:t>
            </w:r>
          </w:p>
        </w:tc>
        <w:tc>
          <w:tcPr>
            <w:tcW w:w="1612" w:type="dxa"/>
            <w:shd w:val="clear" w:color="auto" w:fill="A5A5A5" w:themeFill="accent3"/>
          </w:tcPr>
          <w:p w14:paraId="63D5B069" w14:textId="77777777" w:rsidR="008B10EF" w:rsidRDefault="008B10EF" w:rsidP="00C82136">
            <w:pPr>
              <w:jc w:val="center"/>
            </w:pPr>
          </w:p>
        </w:tc>
      </w:tr>
      <w:tr w:rsidR="008B10EF" w14:paraId="347356B6" w14:textId="77777777" w:rsidTr="00C82136">
        <w:tc>
          <w:tcPr>
            <w:tcW w:w="1632" w:type="dxa"/>
            <w:shd w:val="clear" w:color="auto" w:fill="F2F2F2" w:themeFill="background1" w:themeFillShade="F2"/>
          </w:tcPr>
          <w:p w14:paraId="28B4AE52" w14:textId="77777777" w:rsidR="008B10EF" w:rsidRDefault="008B10EF" w:rsidP="00C82136">
            <w:pPr>
              <w:jc w:val="center"/>
            </w:pPr>
            <w:r>
              <w:t>Benzo[a]</w:t>
            </w:r>
            <w:proofErr w:type="spellStart"/>
            <w:r>
              <w:t>pyrene</w:t>
            </w:r>
            <w:proofErr w:type="spellEnd"/>
          </w:p>
        </w:tc>
        <w:tc>
          <w:tcPr>
            <w:tcW w:w="1424" w:type="dxa"/>
            <w:shd w:val="clear" w:color="auto" w:fill="DEEAF6" w:themeFill="accent1" w:themeFillTint="33"/>
          </w:tcPr>
          <w:p w14:paraId="3690591B" w14:textId="77777777" w:rsidR="008B10EF" w:rsidRDefault="008B10EF" w:rsidP="00C82136">
            <w:pPr>
              <w:jc w:val="center"/>
            </w:pPr>
            <w:r>
              <w:t>&lt;0.039</w:t>
            </w:r>
          </w:p>
        </w:tc>
        <w:tc>
          <w:tcPr>
            <w:tcW w:w="1604" w:type="dxa"/>
            <w:shd w:val="clear" w:color="auto" w:fill="DEEAF6" w:themeFill="accent1" w:themeFillTint="33"/>
          </w:tcPr>
          <w:p w14:paraId="5AB72810" w14:textId="77777777" w:rsidR="008B10EF" w:rsidRDefault="008B10EF" w:rsidP="00C82136">
            <w:pPr>
              <w:jc w:val="center"/>
            </w:pPr>
            <w:r>
              <w:t>&lt;0.037</w:t>
            </w:r>
          </w:p>
        </w:tc>
        <w:tc>
          <w:tcPr>
            <w:tcW w:w="1479" w:type="dxa"/>
            <w:shd w:val="clear" w:color="auto" w:fill="DEEAF6" w:themeFill="accent1" w:themeFillTint="33"/>
          </w:tcPr>
          <w:p w14:paraId="3F88E40D" w14:textId="77777777" w:rsidR="008B10EF" w:rsidRDefault="008B10EF" w:rsidP="00C82136">
            <w:pPr>
              <w:jc w:val="center"/>
            </w:pPr>
            <w:r>
              <w:t>&lt;0.035</w:t>
            </w:r>
          </w:p>
        </w:tc>
        <w:tc>
          <w:tcPr>
            <w:tcW w:w="1609" w:type="dxa"/>
          </w:tcPr>
          <w:p w14:paraId="01A19254" w14:textId="77777777" w:rsidR="008B10EF" w:rsidRDefault="008B10EF" w:rsidP="00C82136">
            <w:pPr>
              <w:jc w:val="center"/>
            </w:pPr>
            <w:r>
              <w:t>1</w:t>
            </w:r>
          </w:p>
        </w:tc>
        <w:tc>
          <w:tcPr>
            <w:tcW w:w="1612" w:type="dxa"/>
            <w:shd w:val="clear" w:color="auto" w:fill="A5A5A5" w:themeFill="accent3"/>
          </w:tcPr>
          <w:p w14:paraId="2E775E8F" w14:textId="77777777" w:rsidR="008B10EF" w:rsidRDefault="008B10EF" w:rsidP="00C82136">
            <w:pPr>
              <w:jc w:val="center"/>
            </w:pPr>
          </w:p>
        </w:tc>
      </w:tr>
    </w:tbl>
    <w:p w14:paraId="47D26363" w14:textId="77777777" w:rsidR="008B10EF" w:rsidRDefault="008B10EF" w:rsidP="008B10EF"/>
    <w:p w14:paraId="6D3BB84C" w14:textId="77777777" w:rsidR="008B10EF" w:rsidRDefault="008B10EF" w:rsidP="008B10EF">
      <w:r>
        <w:t xml:space="preserve">Key: </w:t>
      </w:r>
      <w:r w:rsidRPr="00D87945">
        <w:rPr>
          <w:shd w:val="clear" w:color="auto" w:fill="C5E0B3" w:themeFill="accent6" w:themeFillTint="66"/>
        </w:rPr>
        <w:t xml:space="preserve">Below </w:t>
      </w:r>
      <w:r>
        <w:rPr>
          <w:shd w:val="clear" w:color="auto" w:fill="C5E0B3" w:themeFill="accent6" w:themeFillTint="66"/>
        </w:rPr>
        <w:t>Guideline</w:t>
      </w:r>
      <w:r>
        <w:t xml:space="preserve">, </w:t>
      </w:r>
      <w:r w:rsidRPr="00D87945">
        <w:rPr>
          <w:shd w:val="clear" w:color="auto" w:fill="DEEAF6" w:themeFill="accent1" w:themeFillTint="33"/>
        </w:rPr>
        <w:t xml:space="preserve">Below </w:t>
      </w:r>
      <w:r>
        <w:rPr>
          <w:shd w:val="clear" w:color="auto" w:fill="DEEAF6" w:themeFill="accent1" w:themeFillTint="33"/>
        </w:rPr>
        <w:t>Detection</w:t>
      </w:r>
      <w:r>
        <w:t xml:space="preserve">, and </w:t>
      </w:r>
      <w:r w:rsidRPr="00D87945">
        <w:rPr>
          <w:shd w:val="clear" w:color="auto" w:fill="FFF2CC" w:themeFill="accent4" w:themeFillTint="33"/>
        </w:rPr>
        <w:t>Above Guideline</w:t>
      </w:r>
    </w:p>
    <w:p w14:paraId="17E2259B" w14:textId="77777777" w:rsidR="01AA8119" w:rsidRDefault="01AA8119" w:rsidP="01AA8119"/>
    <w:sectPr w:rsidR="01AA8119" w:rsidSect="00104EA3">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28088" w14:textId="77777777" w:rsidR="00F1162F" w:rsidRDefault="00F1162F" w:rsidP="008B10EF">
      <w:pPr>
        <w:spacing w:after="0" w:line="240" w:lineRule="auto"/>
      </w:pPr>
      <w:r>
        <w:separator/>
      </w:r>
    </w:p>
  </w:endnote>
  <w:endnote w:type="continuationSeparator" w:id="0">
    <w:p w14:paraId="225AEB0A" w14:textId="77777777" w:rsidR="00F1162F" w:rsidRDefault="00F1162F" w:rsidP="008B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4DADE" w14:textId="77777777" w:rsidR="00F1162F" w:rsidRDefault="00F1162F" w:rsidP="008B10EF">
      <w:pPr>
        <w:spacing w:after="0" w:line="240" w:lineRule="auto"/>
      </w:pPr>
      <w:r>
        <w:separator/>
      </w:r>
    </w:p>
  </w:footnote>
  <w:footnote w:type="continuationSeparator" w:id="0">
    <w:p w14:paraId="3141D502" w14:textId="77777777" w:rsidR="00F1162F" w:rsidRDefault="00F1162F" w:rsidP="008B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7604" w14:textId="6BB852AE" w:rsidR="008B10EF" w:rsidRDefault="008B10EF" w:rsidP="008B10EF">
    <w:pPr>
      <w:pStyle w:val="Header"/>
      <w:jc w:val="right"/>
    </w:pPr>
    <w:r>
      <w:t>Template 9/24/19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F574A"/>
    <w:multiLevelType w:val="hybridMultilevel"/>
    <w:tmpl w:val="7EC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06847"/>
    <w:multiLevelType w:val="hybridMultilevel"/>
    <w:tmpl w:val="74E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323C5"/>
    <w:multiLevelType w:val="hybridMultilevel"/>
    <w:tmpl w:val="06CC05C0"/>
    <w:lvl w:ilvl="0" w:tplc="D1483108">
      <w:start w:val="1"/>
      <w:numFmt w:val="decimal"/>
      <w:lvlText w:val="%1."/>
      <w:lvlJc w:val="left"/>
      <w:pPr>
        <w:ind w:left="720" w:hanging="360"/>
      </w:pPr>
    </w:lvl>
    <w:lvl w:ilvl="1" w:tplc="7ECCE8CC">
      <w:start w:val="1"/>
      <w:numFmt w:val="lowerLetter"/>
      <w:lvlText w:val="%2."/>
      <w:lvlJc w:val="left"/>
      <w:pPr>
        <w:ind w:left="1440" w:hanging="360"/>
      </w:pPr>
    </w:lvl>
    <w:lvl w:ilvl="2" w:tplc="77E65158">
      <w:start w:val="1"/>
      <w:numFmt w:val="lowerRoman"/>
      <w:lvlText w:val="%3."/>
      <w:lvlJc w:val="right"/>
      <w:pPr>
        <w:ind w:left="2160" w:hanging="180"/>
      </w:pPr>
    </w:lvl>
    <w:lvl w:ilvl="3" w:tplc="F76483AC">
      <w:start w:val="1"/>
      <w:numFmt w:val="decimal"/>
      <w:lvlText w:val="%4."/>
      <w:lvlJc w:val="left"/>
      <w:pPr>
        <w:ind w:left="2880" w:hanging="360"/>
      </w:pPr>
    </w:lvl>
    <w:lvl w:ilvl="4" w:tplc="F0160B92">
      <w:start w:val="1"/>
      <w:numFmt w:val="lowerLetter"/>
      <w:lvlText w:val="%5."/>
      <w:lvlJc w:val="left"/>
      <w:pPr>
        <w:ind w:left="3600" w:hanging="360"/>
      </w:pPr>
    </w:lvl>
    <w:lvl w:ilvl="5" w:tplc="4184F62A">
      <w:start w:val="1"/>
      <w:numFmt w:val="lowerRoman"/>
      <w:lvlText w:val="%6."/>
      <w:lvlJc w:val="right"/>
      <w:pPr>
        <w:ind w:left="4320" w:hanging="180"/>
      </w:pPr>
    </w:lvl>
    <w:lvl w:ilvl="6" w:tplc="45F2CDF6">
      <w:start w:val="1"/>
      <w:numFmt w:val="decimal"/>
      <w:lvlText w:val="%7."/>
      <w:lvlJc w:val="left"/>
      <w:pPr>
        <w:ind w:left="5040" w:hanging="360"/>
      </w:pPr>
    </w:lvl>
    <w:lvl w:ilvl="7" w:tplc="F12A5E6E">
      <w:start w:val="1"/>
      <w:numFmt w:val="lowerLetter"/>
      <w:lvlText w:val="%8."/>
      <w:lvlJc w:val="left"/>
      <w:pPr>
        <w:ind w:left="5760" w:hanging="360"/>
      </w:pPr>
    </w:lvl>
    <w:lvl w:ilvl="8" w:tplc="17F6B752">
      <w:start w:val="1"/>
      <w:numFmt w:val="lowerRoman"/>
      <w:lvlText w:val="%9."/>
      <w:lvlJc w:val="right"/>
      <w:pPr>
        <w:ind w:left="6480" w:hanging="180"/>
      </w:pPr>
    </w:lvl>
  </w:abstractNum>
  <w:abstractNum w:abstractNumId="3" w15:restartNumberingAfterBreak="0">
    <w:nsid w:val="74401713"/>
    <w:multiLevelType w:val="hybridMultilevel"/>
    <w:tmpl w:val="DE4C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874AD"/>
    <w:multiLevelType w:val="hybridMultilevel"/>
    <w:tmpl w:val="A79E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8F"/>
    <w:rsid w:val="0004415A"/>
    <w:rsid w:val="000D6975"/>
    <w:rsid w:val="00104EA3"/>
    <w:rsid w:val="00144A34"/>
    <w:rsid w:val="001B4C18"/>
    <w:rsid w:val="001D20C2"/>
    <w:rsid w:val="001D3D89"/>
    <w:rsid w:val="002147EC"/>
    <w:rsid w:val="00282013"/>
    <w:rsid w:val="00310394"/>
    <w:rsid w:val="00342F92"/>
    <w:rsid w:val="003841FD"/>
    <w:rsid w:val="003C385D"/>
    <w:rsid w:val="0048591B"/>
    <w:rsid w:val="004B2363"/>
    <w:rsid w:val="004E2653"/>
    <w:rsid w:val="00510D2E"/>
    <w:rsid w:val="00532AAC"/>
    <w:rsid w:val="00543216"/>
    <w:rsid w:val="005E3A4D"/>
    <w:rsid w:val="00641A23"/>
    <w:rsid w:val="00666122"/>
    <w:rsid w:val="00711EF5"/>
    <w:rsid w:val="00744136"/>
    <w:rsid w:val="007A5A8C"/>
    <w:rsid w:val="007B03FA"/>
    <w:rsid w:val="007D53F5"/>
    <w:rsid w:val="007E3339"/>
    <w:rsid w:val="007F2A6B"/>
    <w:rsid w:val="0085541F"/>
    <w:rsid w:val="008662E1"/>
    <w:rsid w:val="008B10EF"/>
    <w:rsid w:val="008C57D1"/>
    <w:rsid w:val="00946E97"/>
    <w:rsid w:val="009645AE"/>
    <w:rsid w:val="00983A3F"/>
    <w:rsid w:val="009D3922"/>
    <w:rsid w:val="009E5281"/>
    <w:rsid w:val="009F5B2D"/>
    <w:rsid w:val="00A11359"/>
    <w:rsid w:val="00A63572"/>
    <w:rsid w:val="00B3014F"/>
    <w:rsid w:val="00B77C81"/>
    <w:rsid w:val="00B820D6"/>
    <w:rsid w:val="00C16C6D"/>
    <w:rsid w:val="00C16E8A"/>
    <w:rsid w:val="00C46044"/>
    <w:rsid w:val="00C63169"/>
    <w:rsid w:val="00C80D69"/>
    <w:rsid w:val="00D0288F"/>
    <w:rsid w:val="00D16432"/>
    <w:rsid w:val="00D16682"/>
    <w:rsid w:val="00D2387F"/>
    <w:rsid w:val="00D4575F"/>
    <w:rsid w:val="00D74969"/>
    <w:rsid w:val="00DC05BA"/>
    <w:rsid w:val="00E40BE8"/>
    <w:rsid w:val="00E66243"/>
    <w:rsid w:val="00E7084B"/>
    <w:rsid w:val="00E97A32"/>
    <w:rsid w:val="00F1162F"/>
    <w:rsid w:val="00F5027D"/>
    <w:rsid w:val="00FD4AAF"/>
    <w:rsid w:val="00FE1641"/>
    <w:rsid w:val="01AA8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8C02"/>
  <w15:chartTrackingRefBased/>
  <w15:docId w15:val="{2FE99AD1-119B-463B-AE56-EAB8B8F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8F"/>
    <w:pPr>
      <w:ind w:left="720"/>
      <w:contextualSpacing/>
    </w:pPr>
  </w:style>
  <w:style w:type="character" w:customStyle="1" w:styleId="Heading2Char">
    <w:name w:val="Heading 2 Char"/>
    <w:basedOn w:val="DefaultParagraphFont"/>
    <w:link w:val="Heading2"/>
    <w:uiPriority w:val="9"/>
    <w:rsid w:val="00D028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F"/>
    <w:rPr>
      <w:rFonts w:ascii="Segoe UI" w:hAnsi="Segoe UI" w:cs="Segoe UI"/>
      <w:sz w:val="18"/>
      <w:szCs w:val="18"/>
    </w:rPr>
  </w:style>
  <w:style w:type="table" w:styleId="TableGrid">
    <w:name w:val="Table Grid"/>
    <w:basedOn w:val="TableNormal"/>
    <w:uiPriority w:val="39"/>
    <w:rsid w:val="00B8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0D6"/>
    <w:rPr>
      <w:color w:val="0563C1" w:themeColor="hyperlink"/>
      <w:u w:val="single"/>
    </w:rPr>
  </w:style>
  <w:style w:type="character" w:styleId="CommentReference">
    <w:name w:val="annotation reference"/>
    <w:basedOn w:val="DefaultParagraphFont"/>
    <w:uiPriority w:val="99"/>
    <w:semiHidden/>
    <w:unhideWhenUsed/>
    <w:rsid w:val="00A63572"/>
    <w:rPr>
      <w:sz w:val="18"/>
      <w:szCs w:val="18"/>
    </w:rPr>
  </w:style>
  <w:style w:type="paragraph" w:styleId="CommentText">
    <w:name w:val="annotation text"/>
    <w:basedOn w:val="Normal"/>
    <w:link w:val="CommentTextChar"/>
    <w:uiPriority w:val="99"/>
    <w:semiHidden/>
    <w:unhideWhenUsed/>
    <w:rsid w:val="00A63572"/>
    <w:pPr>
      <w:spacing w:line="240" w:lineRule="auto"/>
    </w:pPr>
    <w:rPr>
      <w:sz w:val="24"/>
      <w:szCs w:val="24"/>
    </w:rPr>
  </w:style>
  <w:style w:type="character" w:customStyle="1" w:styleId="CommentTextChar">
    <w:name w:val="Comment Text Char"/>
    <w:basedOn w:val="DefaultParagraphFont"/>
    <w:link w:val="CommentText"/>
    <w:uiPriority w:val="99"/>
    <w:semiHidden/>
    <w:rsid w:val="00A63572"/>
    <w:rPr>
      <w:sz w:val="24"/>
      <w:szCs w:val="24"/>
    </w:rPr>
  </w:style>
  <w:style w:type="paragraph" w:styleId="CommentSubject">
    <w:name w:val="annotation subject"/>
    <w:basedOn w:val="CommentText"/>
    <w:next w:val="CommentText"/>
    <w:link w:val="CommentSubjectChar"/>
    <w:uiPriority w:val="99"/>
    <w:semiHidden/>
    <w:unhideWhenUsed/>
    <w:rsid w:val="00A63572"/>
    <w:rPr>
      <w:b/>
      <w:bCs/>
      <w:sz w:val="20"/>
      <w:szCs w:val="20"/>
    </w:rPr>
  </w:style>
  <w:style w:type="character" w:customStyle="1" w:styleId="CommentSubjectChar">
    <w:name w:val="Comment Subject Char"/>
    <w:basedOn w:val="CommentTextChar"/>
    <w:link w:val="CommentSubject"/>
    <w:uiPriority w:val="99"/>
    <w:semiHidden/>
    <w:rsid w:val="00A63572"/>
    <w:rPr>
      <w:b/>
      <w:bCs/>
      <w:sz w:val="20"/>
      <w:szCs w:val="20"/>
    </w:rPr>
  </w:style>
  <w:style w:type="character" w:customStyle="1" w:styleId="Heading1Char">
    <w:name w:val="Heading 1 Char"/>
    <w:basedOn w:val="DefaultParagraphFont"/>
    <w:link w:val="Heading1"/>
    <w:uiPriority w:val="9"/>
    <w:rsid w:val="001D20C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D2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0C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841FD"/>
    <w:rPr>
      <w:color w:val="954F72" w:themeColor="followedHyperlink"/>
      <w:u w:val="single"/>
    </w:rPr>
  </w:style>
  <w:style w:type="character" w:customStyle="1" w:styleId="UnresolvedMention1">
    <w:name w:val="Unresolved Mention1"/>
    <w:basedOn w:val="DefaultParagraphFont"/>
    <w:uiPriority w:val="99"/>
    <w:semiHidden/>
    <w:unhideWhenUsed/>
    <w:rsid w:val="003841FD"/>
    <w:rPr>
      <w:color w:val="605E5C"/>
      <w:shd w:val="clear" w:color="auto" w:fill="E1DFDD"/>
    </w:rPr>
  </w:style>
  <w:style w:type="character" w:styleId="SubtleEmphasis">
    <w:name w:val="Subtle Emphasis"/>
    <w:basedOn w:val="DefaultParagraphFont"/>
    <w:uiPriority w:val="19"/>
    <w:qFormat/>
    <w:rsid w:val="00F5027D"/>
    <w:rPr>
      <w:i/>
      <w:iCs/>
      <w:color w:val="404040" w:themeColor="text1" w:themeTint="BF"/>
    </w:rPr>
  </w:style>
  <w:style w:type="character" w:styleId="IntenseEmphasis">
    <w:name w:val="Intense Emphasis"/>
    <w:basedOn w:val="DefaultParagraphFont"/>
    <w:uiPriority w:val="21"/>
    <w:qFormat/>
    <w:rsid w:val="00F5027D"/>
    <w:rPr>
      <w:i/>
      <w:iCs/>
      <w:color w:val="5B9BD5" w:themeColor="accent1"/>
    </w:rPr>
  </w:style>
  <w:style w:type="character" w:styleId="Strong">
    <w:name w:val="Strong"/>
    <w:basedOn w:val="DefaultParagraphFont"/>
    <w:uiPriority w:val="22"/>
    <w:qFormat/>
    <w:rsid w:val="00510D2E"/>
    <w:rPr>
      <w:b/>
      <w:bCs/>
    </w:rPr>
  </w:style>
  <w:style w:type="character" w:customStyle="1" w:styleId="UnresolvedMention">
    <w:name w:val="Unresolved Mention"/>
    <w:basedOn w:val="DefaultParagraphFont"/>
    <w:uiPriority w:val="99"/>
    <w:semiHidden/>
    <w:unhideWhenUsed/>
    <w:rsid w:val="007F2A6B"/>
    <w:rPr>
      <w:color w:val="605E5C"/>
      <w:shd w:val="clear" w:color="auto" w:fill="E1DFDD"/>
    </w:rPr>
  </w:style>
  <w:style w:type="paragraph" w:styleId="Header">
    <w:name w:val="header"/>
    <w:basedOn w:val="Normal"/>
    <w:link w:val="HeaderChar"/>
    <w:uiPriority w:val="99"/>
    <w:unhideWhenUsed/>
    <w:rsid w:val="008B1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EF"/>
  </w:style>
  <w:style w:type="paragraph" w:styleId="Footer">
    <w:name w:val="footer"/>
    <w:basedOn w:val="Normal"/>
    <w:link w:val="FooterChar"/>
    <w:uiPriority w:val="99"/>
    <w:unhideWhenUsed/>
    <w:rsid w:val="008B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s.ncsu.edu/minimizing-risks-of-soil-contaminants-in-urban-gardens" TargetMode="External"/><Relationship Id="rId13" Type="http://schemas.openxmlformats.org/officeDocument/2006/relationships/hyperlink" Target="https://files.nc.gov/ncdeq/Waste%20Management/DWM/risk_based_remediation/Feb2018_PSRGs.pdf" TargetMode="External"/><Relationship Id="rId3" Type="http://schemas.openxmlformats.org/officeDocument/2006/relationships/settings" Target="settings.xml"/><Relationship Id="rId7" Type="http://schemas.openxmlformats.org/officeDocument/2006/relationships/hyperlink" Target="http://sites.nicholas.duke.edu/superfund/gardens/" TargetMode="External"/><Relationship Id="rId12" Type="http://schemas.openxmlformats.org/officeDocument/2006/relationships/hyperlink" Target="https://pubs.usgs.gov/ds/8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luukinen@duk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ccgp.org/resources/tag/contaminants/" TargetMode="External"/><Relationship Id="rId4" Type="http://schemas.openxmlformats.org/officeDocument/2006/relationships/webSettings" Target="webSettings.xml"/><Relationship Id="rId9" Type="http://schemas.openxmlformats.org/officeDocument/2006/relationships/hyperlink" Target="https://gardening.ces.ncsu.edu/" TargetMode="External"/><Relationship Id="rId14" Type="http://schemas.openxmlformats.org/officeDocument/2006/relationships/hyperlink" Target="http://www.dec.ny.gov/docs/remediation_hudson_pdf/techsupp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1412</Words>
  <Characters>8176</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Luukinen</dc:creator>
  <cp:keywords/>
  <dc:description/>
  <cp:lastModifiedBy>Samuel Cohen</cp:lastModifiedBy>
  <cp:revision>28</cp:revision>
  <dcterms:created xsi:type="dcterms:W3CDTF">2018-06-20T15:28:00Z</dcterms:created>
  <dcterms:modified xsi:type="dcterms:W3CDTF">2019-09-24T17:07:00Z</dcterms:modified>
</cp:coreProperties>
</file>